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F8876A" w14:textId="77777777" w:rsidR="00EE44A7" w:rsidRDefault="00171415" w:rsidP="00171415">
      <w:pPr>
        <w:spacing w:line="480" w:lineRule="auto"/>
        <w:jc w:val="right"/>
      </w:pPr>
      <w:r>
        <w:t>Courtney Cox</w:t>
      </w:r>
    </w:p>
    <w:p w14:paraId="7B6FA780" w14:textId="3BA3AA20" w:rsidR="00171415" w:rsidRDefault="00AA1DA0" w:rsidP="00171415">
      <w:pPr>
        <w:spacing w:line="480" w:lineRule="auto"/>
        <w:jc w:val="right"/>
      </w:pPr>
      <w:r>
        <w:t>4/28</w:t>
      </w:r>
      <w:r w:rsidR="00171415">
        <w:t>/17</w:t>
      </w:r>
    </w:p>
    <w:p w14:paraId="10C24F7D" w14:textId="319F474C" w:rsidR="00AA1DA0" w:rsidRPr="00AA1DA0" w:rsidRDefault="00AA1DA0" w:rsidP="00AA1DA0">
      <w:pPr>
        <w:spacing w:line="480" w:lineRule="auto"/>
        <w:jc w:val="center"/>
        <w:rPr>
          <w:b/>
        </w:rPr>
      </w:pPr>
      <w:r>
        <w:rPr>
          <w:b/>
        </w:rPr>
        <w:t>Isolating and identifying bacterium from hockey glove</w:t>
      </w:r>
    </w:p>
    <w:p w14:paraId="0579C9F9" w14:textId="77777777" w:rsidR="00171415" w:rsidRDefault="00171415" w:rsidP="00171415">
      <w:pPr>
        <w:spacing w:line="480" w:lineRule="auto"/>
        <w:jc w:val="center"/>
      </w:pPr>
      <w:r>
        <w:rPr>
          <w:b/>
        </w:rPr>
        <w:t>Introduction</w:t>
      </w:r>
    </w:p>
    <w:p w14:paraId="2C45FB4C" w14:textId="289D07A6" w:rsidR="00171415" w:rsidRPr="00B433EB" w:rsidRDefault="00171415" w:rsidP="00171415">
      <w:pPr>
        <w:spacing w:line="480" w:lineRule="auto"/>
      </w:pPr>
      <w:r>
        <w:tab/>
        <w:t xml:space="preserve">Life would not be possible without the existence of </w:t>
      </w:r>
      <w:r w:rsidR="00A84DA1">
        <w:t>microorganisms;</w:t>
      </w:r>
      <w:r>
        <w:t xml:space="preserve"> they affect every living thing on Earth and can be found anywhere you look. </w:t>
      </w:r>
      <w:r w:rsidR="00AA1DA0">
        <w:t xml:space="preserve">One of those places is on the human body. Even though there has been many recent advances in understanding the human microbiome, there have been no </w:t>
      </w:r>
      <w:r w:rsidR="000D7897" w:rsidRPr="000D7897">
        <w:t>inclusive</w:t>
      </w:r>
      <w:r w:rsidR="00AA1DA0">
        <w:t xml:space="preserve"> reviews in hand microbiome research (Edmond-Wilson 2015). According to </w:t>
      </w:r>
      <w:r w:rsidR="000D7897">
        <w:t xml:space="preserve">a database search on skin microbiome-related articles that were published between 2008 and 2015, eighteen articles contained information on the hand microbiome, identifying the four most common bacterial phyla’s present: Firmicutes, Actinobacteria, Proteobacteria, and Bacteroidetes (Edmond-Wilson 2015). </w:t>
      </w:r>
    </w:p>
    <w:p w14:paraId="13C66209" w14:textId="4E963022" w:rsidR="00171415" w:rsidRDefault="00171415" w:rsidP="00171415">
      <w:pPr>
        <w:spacing w:line="480" w:lineRule="auto"/>
        <w:rPr>
          <w:rFonts w:cs="Arial"/>
          <w:iCs/>
          <w:color w:val="232323"/>
        </w:rPr>
      </w:pPr>
      <w:r>
        <w:tab/>
      </w:r>
      <w:r w:rsidR="00C92ADD">
        <w:t xml:space="preserve">The most common bacteria found in athletic gear are related to skin infections like </w:t>
      </w:r>
      <w:r w:rsidR="00C92ADD" w:rsidRPr="00C92ADD">
        <w:rPr>
          <w:rFonts w:cs="Arial"/>
          <w:i/>
          <w:iCs/>
          <w:color w:val="232323"/>
        </w:rPr>
        <w:t>Staphylococcus aureus</w:t>
      </w:r>
      <w:r w:rsidR="00C92ADD">
        <w:rPr>
          <w:rFonts w:cs="Arial"/>
          <w:iCs/>
          <w:color w:val="232323"/>
        </w:rPr>
        <w:t xml:space="preserve">, </w:t>
      </w:r>
      <w:r w:rsidR="00C92ADD">
        <w:rPr>
          <w:rFonts w:cs="Arial"/>
          <w:i/>
          <w:iCs/>
          <w:color w:val="232323"/>
        </w:rPr>
        <w:t>Tinea corporis</w:t>
      </w:r>
      <w:r w:rsidR="00C92ADD">
        <w:rPr>
          <w:rFonts w:cs="Arial"/>
          <w:iCs/>
          <w:color w:val="232323"/>
        </w:rPr>
        <w:t xml:space="preserve"> and </w:t>
      </w:r>
      <w:r w:rsidR="00C92ADD">
        <w:rPr>
          <w:rFonts w:cs="Arial"/>
          <w:i/>
          <w:iCs/>
          <w:color w:val="232323"/>
        </w:rPr>
        <w:t>capitis</w:t>
      </w:r>
      <w:r w:rsidR="00C92ADD">
        <w:rPr>
          <w:rFonts w:cs="Arial"/>
          <w:iCs/>
          <w:color w:val="232323"/>
        </w:rPr>
        <w:t xml:space="preserve">, and </w:t>
      </w:r>
      <w:r w:rsidR="00F935CA">
        <w:rPr>
          <w:rFonts w:cs="Arial"/>
          <w:i/>
          <w:iCs/>
          <w:color w:val="232323"/>
        </w:rPr>
        <w:t>L</w:t>
      </w:r>
      <w:r w:rsidR="00C92ADD" w:rsidRPr="00A84DA1">
        <w:rPr>
          <w:rFonts w:cs="Arial"/>
          <w:i/>
          <w:iCs/>
          <w:color w:val="232323"/>
        </w:rPr>
        <w:t>eptospirosis</w:t>
      </w:r>
      <w:r w:rsidR="00F935CA">
        <w:rPr>
          <w:rFonts w:cs="Arial"/>
          <w:i/>
          <w:iCs/>
          <w:color w:val="232323"/>
        </w:rPr>
        <w:t xml:space="preserve"> spp.</w:t>
      </w:r>
      <w:r w:rsidR="00C92ADD">
        <w:rPr>
          <w:rFonts w:cs="Arial"/>
          <w:iCs/>
          <w:color w:val="232323"/>
        </w:rPr>
        <w:t xml:space="preserve"> (</w:t>
      </w:r>
      <w:r w:rsidR="003B5628" w:rsidRPr="007A15B3">
        <w:rPr>
          <w:rFonts w:cs="Arial"/>
          <w:color w:val="1A1A1A"/>
        </w:rPr>
        <w:t>Grosset-Janin</w:t>
      </w:r>
      <w:r w:rsidR="003B5628">
        <w:rPr>
          <w:rFonts w:cs="Arial"/>
          <w:iCs/>
          <w:color w:val="232323"/>
        </w:rPr>
        <w:t xml:space="preserve"> </w:t>
      </w:r>
      <w:r w:rsidR="00C92ADD">
        <w:rPr>
          <w:rFonts w:cs="Arial"/>
          <w:iCs/>
          <w:color w:val="232323"/>
        </w:rPr>
        <w:t>2012).</w:t>
      </w:r>
      <w:r w:rsidR="007F79D2">
        <w:rPr>
          <w:rFonts w:cs="Arial"/>
          <w:iCs/>
          <w:color w:val="232323"/>
        </w:rPr>
        <w:t xml:space="preserve"> The most dangerous </w:t>
      </w:r>
      <w:r w:rsidR="008863DF">
        <w:rPr>
          <w:rFonts w:cs="Arial"/>
          <w:iCs/>
          <w:color w:val="232323"/>
        </w:rPr>
        <w:t xml:space="preserve">skin infection is methicillin-resistant </w:t>
      </w:r>
      <w:r w:rsidR="008863DF">
        <w:rPr>
          <w:rFonts w:cs="Arial"/>
          <w:i/>
          <w:iCs/>
          <w:color w:val="232323"/>
        </w:rPr>
        <w:t>S. aureus</w:t>
      </w:r>
      <w:r w:rsidR="008863DF">
        <w:rPr>
          <w:rFonts w:cs="Arial"/>
          <w:iCs/>
          <w:color w:val="232323"/>
        </w:rPr>
        <w:t xml:space="preserve"> (MRSA) because of its virulence and resistance to conventional treatments (Beavis 2008). </w:t>
      </w:r>
      <w:r w:rsidR="005F7C4F">
        <w:rPr>
          <w:rFonts w:cs="Arial"/>
          <w:iCs/>
          <w:color w:val="232323"/>
        </w:rPr>
        <w:t>Localized bacterial infections are also common among athletes and some environmental bacteria can</w:t>
      </w:r>
      <w:r w:rsidR="00E33958">
        <w:rPr>
          <w:rFonts w:cs="Arial"/>
          <w:iCs/>
          <w:color w:val="232323"/>
        </w:rPr>
        <w:t xml:space="preserve"> also</w:t>
      </w:r>
      <w:r w:rsidR="005F7C4F">
        <w:rPr>
          <w:rFonts w:cs="Arial"/>
          <w:iCs/>
          <w:color w:val="232323"/>
        </w:rPr>
        <w:t xml:space="preserve"> appear</w:t>
      </w:r>
      <w:r w:rsidR="00E33958">
        <w:rPr>
          <w:rFonts w:cs="Arial"/>
          <w:iCs/>
          <w:color w:val="232323"/>
        </w:rPr>
        <w:t xml:space="preserve"> from exposure to wet areas</w:t>
      </w:r>
      <w:r w:rsidR="005F7C4F">
        <w:rPr>
          <w:rFonts w:cs="Arial"/>
          <w:iCs/>
          <w:color w:val="232323"/>
        </w:rPr>
        <w:t xml:space="preserve">. </w:t>
      </w:r>
      <w:r w:rsidR="000D7897">
        <w:t>The goal of this experiment is to isolate, characterize, and identify a bacterium swabbed from a hockey glove.</w:t>
      </w:r>
    </w:p>
    <w:p w14:paraId="3CABBB6D" w14:textId="0DF8CEFE" w:rsidR="00806EAE" w:rsidRDefault="00806EAE" w:rsidP="00171415">
      <w:pPr>
        <w:spacing w:line="480" w:lineRule="auto"/>
        <w:rPr>
          <w:rFonts w:cs="Arial"/>
          <w:iCs/>
          <w:color w:val="232323"/>
        </w:rPr>
      </w:pPr>
      <w:r>
        <w:rPr>
          <w:rFonts w:cs="Arial"/>
          <w:iCs/>
          <w:color w:val="232323"/>
        </w:rPr>
        <w:tab/>
        <w:t xml:space="preserve">My hypothesis is that some form of </w:t>
      </w:r>
      <w:r w:rsidRPr="00C92ADD">
        <w:rPr>
          <w:rFonts w:cs="Arial"/>
          <w:i/>
          <w:iCs/>
          <w:color w:val="232323"/>
        </w:rPr>
        <w:t>Staphylococcus</w:t>
      </w:r>
      <w:r>
        <w:rPr>
          <w:rFonts w:cs="Arial"/>
          <w:i/>
          <w:iCs/>
          <w:color w:val="232323"/>
        </w:rPr>
        <w:t xml:space="preserve"> </w:t>
      </w:r>
      <w:r>
        <w:rPr>
          <w:rFonts w:cs="Arial"/>
          <w:iCs/>
          <w:color w:val="232323"/>
        </w:rPr>
        <w:t xml:space="preserve">will be present on the hockey glove. I predict that </w:t>
      </w:r>
      <w:r w:rsidRPr="00C92ADD">
        <w:rPr>
          <w:rFonts w:cs="Arial"/>
          <w:i/>
          <w:iCs/>
          <w:color w:val="232323"/>
        </w:rPr>
        <w:t>Staphylococcus</w:t>
      </w:r>
      <w:r>
        <w:rPr>
          <w:rFonts w:cs="Arial"/>
          <w:i/>
          <w:iCs/>
          <w:color w:val="232323"/>
        </w:rPr>
        <w:t xml:space="preserve"> </w:t>
      </w:r>
      <w:r>
        <w:rPr>
          <w:rFonts w:cs="Arial"/>
          <w:iCs/>
          <w:color w:val="232323"/>
        </w:rPr>
        <w:t xml:space="preserve">will be present because it is very </w:t>
      </w:r>
      <w:r>
        <w:rPr>
          <w:rFonts w:cs="Arial"/>
          <w:iCs/>
          <w:color w:val="232323"/>
        </w:rPr>
        <w:lastRenderedPageBreak/>
        <w:t>common among sport teams, especially when that</w:t>
      </w:r>
      <w:r w:rsidR="000D7897">
        <w:rPr>
          <w:rFonts w:cs="Arial"/>
          <w:iCs/>
          <w:color w:val="232323"/>
        </w:rPr>
        <w:t xml:space="preserve"> sport requires safety equipment. There is also a strong possibility that a microbe no</w:t>
      </w:r>
      <w:r w:rsidR="005A4D30">
        <w:rPr>
          <w:rFonts w:cs="Arial"/>
          <w:iCs/>
          <w:color w:val="232323"/>
        </w:rPr>
        <w:t>t commonly found in a hockey glove</w:t>
      </w:r>
      <w:r w:rsidR="000D7897">
        <w:rPr>
          <w:rFonts w:cs="Arial"/>
          <w:iCs/>
          <w:color w:val="232323"/>
        </w:rPr>
        <w:t xml:space="preserve"> can be isolated, especially if the microbe is still getting the nutrients it needs to survive, like oxygen or a carbon source. </w:t>
      </w:r>
      <w:r w:rsidR="001D3AE0">
        <w:rPr>
          <w:rFonts w:cs="Arial"/>
          <w:iCs/>
          <w:color w:val="232323"/>
        </w:rPr>
        <w:t xml:space="preserve">This is a good possibility because the human hand is exposed to many objects and environments throughout the day, and if a microbe is stuck on the hand and is then stuffed into the glove, there’s a good chance of the microbe transferring onto the glove. </w:t>
      </w:r>
    </w:p>
    <w:p w14:paraId="23421B5E" w14:textId="77777777" w:rsidR="00CE1140" w:rsidRDefault="00CE1140" w:rsidP="00CE1140">
      <w:pPr>
        <w:spacing w:line="480" w:lineRule="auto"/>
        <w:jc w:val="center"/>
        <w:rPr>
          <w:b/>
        </w:rPr>
      </w:pPr>
      <w:bookmarkStart w:id="0" w:name="OLE_LINK1"/>
      <w:bookmarkStart w:id="1" w:name="OLE_LINK2"/>
      <w:r>
        <w:rPr>
          <w:b/>
        </w:rPr>
        <w:t xml:space="preserve">Materials and </w:t>
      </w:r>
      <w:r w:rsidRPr="00452ECB">
        <w:rPr>
          <w:b/>
        </w:rPr>
        <w:t>Methods</w:t>
      </w:r>
    </w:p>
    <w:p w14:paraId="3A20A5AA" w14:textId="77777777" w:rsidR="00702BC4" w:rsidRPr="00702BC4" w:rsidRDefault="00702BC4" w:rsidP="00CE1140">
      <w:pPr>
        <w:spacing w:line="480" w:lineRule="auto"/>
        <w:rPr>
          <w:rFonts w:cs="Arial"/>
          <w:b/>
          <w:iCs/>
          <w:color w:val="232323"/>
        </w:rPr>
      </w:pPr>
      <w:r>
        <w:rPr>
          <w:rFonts w:cs="Arial"/>
          <w:b/>
          <w:iCs/>
          <w:color w:val="232323"/>
        </w:rPr>
        <w:t>Inoculation and Isolation of Bacterium</w:t>
      </w:r>
    </w:p>
    <w:p w14:paraId="11802D4C" w14:textId="3A2C43BB" w:rsidR="00CE1140" w:rsidRDefault="004367BB" w:rsidP="00702BC4">
      <w:pPr>
        <w:spacing w:line="480" w:lineRule="auto"/>
        <w:ind w:firstLine="720"/>
        <w:rPr>
          <w:rFonts w:cs="Arial"/>
          <w:iCs/>
          <w:color w:val="232323"/>
        </w:rPr>
      </w:pPr>
      <w:r>
        <w:rPr>
          <w:rFonts w:cs="Arial"/>
          <w:iCs/>
          <w:color w:val="232323"/>
        </w:rPr>
        <w:t xml:space="preserve">First, I used a sterile swab </w:t>
      </w:r>
      <w:r w:rsidR="00E05FFD">
        <w:rPr>
          <w:rFonts w:cs="Arial"/>
          <w:iCs/>
          <w:color w:val="232323"/>
        </w:rPr>
        <w:t>to swab the inside of</w:t>
      </w:r>
      <w:r>
        <w:rPr>
          <w:rFonts w:cs="Arial"/>
          <w:iCs/>
          <w:color w:val="232323"/>
        </w:rPr>
        <w:t xml:space="preserve"> my hockey glove then</w:t>
      </w:r>
      <w:r w:rsidR="00E05FFD">
        <w:rPr>
          <w:rFonts w:cs="Arial"/>
          <w:iCs/>
          <w:color w:val="232323"/>
        </w:rPr>
        <w:t xml:space="preserve"> used that swab to inoculate</w:t>
      </w:r>
      <w:r>
        <w:rPr>
          <w:rFonts w:cs="Arial"/>
          <w:iCs/>
          <w:color w:val="232323"/>
        </w:rPr>
        <w:t xml:space="preserve"> a </w:t>
      </w:r>
      <w:r w:rsidR="00702BC4">
        <w:rPr>
          <w:rFonts w:cs="Arial"/>
          <w:iCs/>
          <w:color w:val="232323"/>
        </w:rPr>
        <w:t>sterile</w:t>
      </w:r>
      <w:r w:rsidR="00836DB1">
        <w:rPr>
          <w:rFonts w:cs="Arial"/>
          <w:iCs/>
          <w:color w:val="232323"/>
        </w:rPr>
        <w:t xml:space="preserve"> Tryptic Soy Agar</w:t>
      </w:r>
      <w:r w:rsidR="00702BC4">
        <w:rPr>
          <w:rFonts w:cs="Arial"/>
          <w:iCs/>
          <w:color w:val="232323"/>
        </w:rPr>
        <w:t xml:space="preserve"> </w:t>
      </w:r>
      <w:r w:rsidR="00836DB1">
        <w:rPr>
          <w:rFonts w:cs="Arial"/>
          <w:iCs/>
          <w:color w:val="232323"/>
        </w:rPr>
        <w:t>(</w:t>
      </w:r>
      <w:r>
        <w:rPr>
          <w:rFonts w:cs="Arial"/>
          <w:iCs/>
          <w:color w:val="232323"/>
        </w:rPr>
        <w:t>TSA</w:t>
      </w:r>
      <w:r w:rsidR="00836DB1">
        <w:rPr>
          <w:rFonts w:cs="Arial"/>
          <w:iCs/>
          <w:color w:val="232323"/>
        </w:rPr>
        <w:t>)</w:t>
      </w:r>
      <w:r>
        <w:rPr>
          <w:rFonts w:cs="Arial"/>
          <w:iCs/>
          <w:color w:val="232323"/>
        </w:rPr>
        <w:t xml:space="preserve"> plate. </w:t>
      </w:r>
      <w:r w:rsidR="00E05FFD">
        <w:rPr>
          <w:rFonts w:cs="Arial"/>
          <w:iCs/>
          <w:color w:val="232323"/>
        </w:rPr>
        <w:t xml:space="preserve">After inoculating the plate, I </w:t>
      </w:r>
      <w:r w:rsidR="000B1071">
        <w:rPr>
          <w:rFonts w:cs="Arial"/>
          <w:iCs/>
          <w:color w:val="232323"/>
        </w:rPr>
        <w:t>closed it, making sure oxygen was still available, and stored it in a dark and warm (21</w:t>
      </w:r>
      <w:r w:rsidR="000B1071">
        <w:rPr>
          <w:rFonts w:ascii="Cambria" w:hAnsi="Cambria" w:cs="Arial"/>
          <w:iCs/>
          <w:color w:val="232323"/>
        </w:rPr>
        <w:t>°</w:t>
      </w:r>
      <w:r w:rsidR="000B1071">
        <w:rPr>
          <w:rFonts w:cs="Arial"/>
          <w:iCs/>
          <w:color w:val="232323"/>
        </w:rPr>
        <w:t>C) location. I allowed</w:t>
      </w:r>
      <w:r w:rsidR="00E05FFD">
        <w:rPr>
          <w:rFonts w:cs="Arial"/>
          <w:iCs/>
          <w:color w:val="232323"/>
        </w:rPr>
        <w:t xml:space="preserve"> the bacteria</w:t>
      </w:r>
      <w:r w:rsidR="000B1071">
        <w:rPr>
          <w:rFonts w:cs="Arial"/>
          <w:iCs/>
          <w:color w:val="232323"/>
        </w:rPr>
        <w:t xml:space="preserve"> to</w:t>
      </w:r>
      <w:r w:rsidR="00E05FFD">
        <w:rPr>
          <w:rFonts w:cs="Arial"/>
          <w:iCs/>
          <w:color w:val="232323"/>
        </w:rPr>
        <w:t xml:space="preserve"> grow over the next week</w:t>
      </w:r>
      <w:r w:rsidR="000B1071">
        <w:rPr>
          <w:rFonts w:cs="Arial"/>
          <w:iCs/>
          <w:color w:val="232323"/>
        </w:rPr>
        <w:t xml:space="preserve"> while recording any observations. </w:t>
      </w:r>
    </w:p>
    <w:p w14:paraId="7D567B79" w14:textId="16F5F22F" w:rsidR="000B1071" w:rsidRDefault="000B1071" w:rsidP="00702BC4">
      <w:pPr>
        <w:spacing w:line="480" w:lineRule="auto"/>
        <w:ind w:firstLine="720"/>
        <w:rPr>
          <w:rFonts w:cs="Arial"/>
          <w:iCs/>
          <w:color w:val="232323"/>
        </w:rPr>
      </w:pPr>
      <w:r>
        <w:rPr>
          <w:rFonts w:cs="Arial"/>
          <w:iCs/>
          <w:color w:val="232323"/>
        </w:rPr>
        <w:t>After the week was up, I began to isolate my bact</w:t>
      </w:r>
      <w:r w:rsidR="00836DB1">
        <w:rPr>
          <w:rFonts w:cs="Arial"/>
          <w:iCs/>
          <w:color w:val="232323"/>
        </w:rPr>
        <w:t xml:space="preserve">erium. To do this, I selected a round, shiny, cream colored </w:t>
      </w:r>
      <w:r>
        <w:rPr>
          <w:rFonts w:cs="Arial"/>
          <w:iCs/>
          <w:color w:val="232323"/>
        </w:rPr>
        <w:t>colony</w:t>
      </w:r>
      <w:r w:rsidR="004D7AB6">
        <w:rPr>
          <w:rFonts w:cs="Arial"/>
          <w:iCs/>
          <w:color w:val="232323"/>
        </w:rPr>
        <w:t>, as seen in figure 1</w:t>
      </w:r>
      <w:r w:rsidR="00836DB1">
        <w:rPr>
          <w:rFonts w:cs="Arial"/>
          <w:iCs/>
          <w:color w:val="232323"/>
        </w:rPr>
        <w:t>,</w:t>
      </w:r>
      <w:r>
        <w:rPr>
          <w:rFonts w:cs="Arial"/>
          <w:iCs/>
          <w:color w:val="232323"/>
        </w:rPr>
        <w:t xml:space="preserve"> </w:t>
      </w:r>
      <w:r w:rsidR="0053438D">
        <w:rPr>
          <w:rFonts w:cs="Arial"/>
          <w:iCs/>
          <w:color w:val="232323"/>
        </w:rPr>
        <w:t>from the TSA plate I inoculated and used aseptic technique to transfer that colony to a new TSA plate using the streak plate method as stated in the Lab 2B Handout. I then allowed this plate to grow for a few days in t</w:t>
      </w:r>
      <w:r w:rsidR="009141EF">
        <w:rPr>
          <w:rFonts w:cs="Arial"/>
          <w:iCs/>
          <w:color w:val="232323"/>
        </w:rPr>
        <w:t>he incubator, which was set to 37</w:t>
      </w:r>
      <w:r w:rsidR="0053438D">
        <w:rPr>
          <w:rFonts w:ascii="Cambria" w:hAnsi="Cambria" w:cs="Arial"/>
          <w:iCs/>
          <w:color w:val="232323"/>
        </w:rPr>
        <w:t>°</w:t>
      </w:r>
      <w:r w:rsidR="0053438D">
        <w:rPr>
          <w:rFonts w:cs="Arial"/>
          <w:iCs/>
          <w:color w:val="232323"/>
        </w:rPr>
        <w:t>C. I then repeated this step two more times to make a total of three</w:t>
      </w:r>
      <w:r w:rsidR="009141EF">
        <w:rPr>
          <w:rFonts w:cs="Arial"/>
          <w:iCs/>
          <w:color w:val="232323"/>
        </w:rPr>
        <w:t xml:space="preserve"> streak plates to insure that the</w:t>
      </w:r>
      <w:r w:rsidR="0053438D">
        <w:rPr>
          <w:rFonts w:cs="Arial"/>
          <w:iCs/>
          <w:color w:val="232323"/>
        </w:rPr>
        <w:t xml:space="preserve"> bacterium </w:t>
      </w:r>
      <w:r w:rsidR="00836DB1">
        <w:rPr>
          <w:rFonts w:cs="Arial"/>
          <w:iCs/>
          <w:color w:val="232323"/>
        </w:rPr>
        <w:t xml:space="preserve">I was targeting </w:t>
      </w:r>
      <w:r w:rsidR="0053438D">
        <w:rPr>
          <w:rFonts w:cs="Arial"/>
          <w:iCs/>
          <w:color w:val="232323"/>
        </w:rPr>
        <w:t xml:space="preserve">was isolated. </w:t>
      </w:r>
    </w:p>
    <w:p w14:paraId="79CBBA01" w14:textId="77777777" w:rsidR="0053438D" w:rsidRDefault="00191437" w:rsidP="0053438D">
      <w:pPr>
        <w:spacing w:line="480" w:lineRule="auto"/>
        <w:rPr>
          <w:rFonts w:cs="Arial"/>
          <w:b/>
          <w:iCs/>
          <w:color w:val="232323"/>
        </w:rPr>
      </w:pPr>
      <w:r>
        <w:rPr>
          <w:rFonts w:cs="Arial"/>
          <w:b/>
          <w:iCs/>
          <w:color w:val="232323"/>
        </w:rPr>
        <w:t xml:space="preserve">Staining and Morphology </w:t>
      </w:r>
    </w:p>
    <w:p w14:paraId="17ABABAE" w14:textId="77777777" w:rsidR="00191437" w:rsidRDefault="00191437" w:rsidP="0053438D">
      <w:pPr>
        <w:spacing w:line="480" w:lineRule="auto"/>
        <w:rPr>
          <w:rFonts w:cs="Arial"/>
          <w:iCs/>
          <w:color w:val="232323"/>
        </w:rPr>
      </w:pPr>
      <w:r>
        <w:rPr>
          <w:rFonts w:cs="Arial"/>
          <w:iCs/>
          <w:color w:val="232323"/>
        </w:rPr>
        <w:tab/>
      </w:r>
      <w:r w:rsidR="009141EF">
        <w:rPr>
          <w:rFonts w:cs="Arial"/>
          <w:iCs/>
          <w:color w:val="232323"/>
        </w:rPr>
        <w:t xml:space="preserve">Next, a Gram stain was performed (Lab 4 Handout) to determine if the isolate was Gram negative or Gram positive. </w:t>
      </w:r>
      <w:r w:rsidR="00085FC9">
        <w:rPr>
          <w:rFonts w:cs="Arial"/>
          <w:iCs/>
          <w:color w:val="232323"/>
        </w:rPr>
        <w:t xml:space="preserve">During this time I also observed the isolate under a microscope to </w:t>
      </w:r>
      <w:r w:rsidR="003330FB">
        <w:rPr>
          <w:rFonts w:cs="Arial"/>
          <w:iCs/>
          <w:color w:val="232323"/>
        </w:rPr>
        <w:t xml:space="preserve">determine and note the cell morphology (rods, cocci, etc.) and colony morphology (color, size, shape). </w:t>
      </w:r>
    </w:p>
    <w:p w14:paraId="2FE5FAAB" w14:textId="77777777" w:rsidR="00587F5D" w:rsidRDefault="00AC0F0B" w:rsidP="0053438D">
      <w:pPr>
        <w:spacing w:line="480" w:lineRule="auto"/>
        <w:rPr>
          <w:rFonts w:cs="Arial"/>
          <w:b/>
          <w:iCs/>
          <w:color w:val="232323"/>
        </w:rPr>
      </w:pPr>
      <w:r>
        <w:rPr>
          <w:rFonts w:cs="Arial"/>
          <w:b/>
          <w:iCs/>
          <w:color w:val="232323"/>
        </w:rPr>
        <w:t>DNA</w:t>
      </w:r>
      <w:r w:rsidR="00587F5D">
        <w:rPr>
          <w:rFonts w:cs="Arial"/>
          <w:b/>
          <w:iCs/>
          <w:color w:val="232323"/>
        </w:rPr>
        <w:t xml:space="preserve"> Extraction and Analysis </w:t>
      </w:r>
    </w:p>
    <w:p w14:paraId="24CE3E66" w14:textId="6916EF39" w:rsidR="00AC0F0B" w:rsidRDefault="00AC0F0B" w:rsidP="0053438D">
      <w:pPr>
        <w:spacing w:line="480" w:lineRule="auto"/>
        <w:rPr>
          <w:rFonts w:cs="Arial"/>
          <w:iCs/>
          <w:color w:val="232323"/>
        </w:rPr>
      </w:pPr>
      <w:r>
        <w:rPr>
          <w:rFonts w:cs="Arial"/>
          <w:iCs/>
          <w:color w:val="232323"/>
        </w:rPr>
        <w:tab/>
      </w:r>
      <w:r w:rsidR="00587F5D">
        <w:rPr>
          <w:rFonts w:cs="Arial"/>
          <w:iCs/>
          <w:color w:val="232323"/>
        </w:rPr>
        <w:t>After inoculating a liquid</w:t>
      </w:r>
      <w:r w:rsidR="00836DB1">
        <w:rPr>
          <w:rFonts w:cs="Arial"/>
          <w:iCs/>
          <w:color w:val="232323"/>
        </w:rPr>
        <w:t xml:space="preserve"> Tryptic Soy Broth</w:t>
      </w:r>
      <w:r w:rsidR="00587F5D">
        <w:rPr>
          <w:rFonts w:cs="Arial"/>
          <w:iCs/>
          <w:color w:val="232323"/>
        </w:rPr>
        <w:t xml:space="preserve"> </w:t>
      </w:r>
      <w:r w:rsidR="00836DB1">
        <w:rPr>
          <w:rFonts w:cs="Arial"/>
          <w:iCs/>
          <w:color w:val="232323"/>
        </w:rPr>
        <w:t>(</w:t>
      </w:r>
      <w:r w:rsidR="00587F5D">
        <w:rPr>
          <w:rFonts w:cs="Arial"/>
          <w:iCs/>
          <w:color w:val="232323"/>
        </w:rPr>
        <w:t>TSB</w:t>
      </w:r>
      <w:r w:rsidR="00836DB1">
        <w:rPr>
          <w:rFonts w:cs="Arial"/>
          <w:iCs/>
          <w:color w:val="232323"/>
        </w:rPr>
        <w:t>)</w:t>
      </w:r>
      <w:r w:rsidR="00587F5D">
        <w:rPr>
          <w:rFonts w:cs="Arial"/>
          <w:iCs/>
          <w:color w:val="232323"/>
        </w:rPr>
        <w:t xml:space="preserve"> culture and letting it grow, I extracted the DNA from the isolate using the PowerSoil DNA extraction kit</w:t>
      </w:r>
      <w:r w:rsidR="00F365B9">
        <w:rPr>
          <w:rFonts w:cs="Arial"/>
          <w:iCs/>
          <w:color w:val="232323"/>
        </w:rPr>
        <w:t xml:space="preserve"> and following the protocol provided in the Lab 5 Handout</w:t>
      </w:r>
      <w:r w:rsidR="00587F5D">
        <w:rPr>
          <w:rFonts w:cs="Arial"/>
          <w:iCs/>
          <w:color w:val="232323"/>
        </w:rPr>
        <w:t xml:space="preserve">. </w:t>
      </w:r>
      <w:r w:rsidR="00F365B9">
        <w:rPr>
          <w:rFonts w:cs="Arial"/>
          <w:iCs/>
          <w:color w:val="232323"/>
        </w:rPr>
        <w:t xml:space="preserve">The kit used allowed cell lysis to break open the cells by bead beating and adding sodium dodecyl sulfate (SDS), which released the DNA from the cell. The kit also purified the DNA by removing inhibitors and proteins. </w:t>
      </w:r>
      <w:r w:rsidR="001E063B">
        <w:rPr>
          <w:rFonts w:cs="Arial"/>
          <w:iCs/>
          <w:color w:val="232323"/>
        </w:rPr>
        <w:t>After extracting the DNA, a sample of it was sent to the UAF DNA Core Lab to sequence the genome using</w:t>
      </w:r>
      <w:r w:rsidR="00836DB1">
        <w:rPr>
          <w:rFonts w:cs="Arial"/>
          <w:iCs/>
          <w:color w:val="232323"/>
        </w:rPr>
        <w:t xml:space="preserve"> an Illumina MiSeq</w:t>
      </w:r>
      <w:r w:rsidR="001E063B">
        <w:rPr>
          <w:rFonts w:cs="Arial"/>
          <w:iCs/>
          <w:color w:val="232323"/>
        </w:rPr>
        <w:t>.</w:t>
      </w:r>
    </w:p>
    <w:p w14:paraId="173CA573" w14:textId="77777777" w:rsidR="001E063B" w:rsidRDefault="001E063B" w:rsidP="0053438D">
      <w:pPr>
        <w:spacing w:line="480" w:lineRule="auto"/>
        <w:rPr>
          <w:rFonts w:cs="Arial"/>
          <w:b/>
          <w:iCs/>
          <w:color w:val="232323"/>
        </w:rPr>
      </w:pPr>
      <w:r>
        <w:rPr>
          <w:rFonts w:cs="Arial"/>
          <w:b/>
          <w:iCs/>
          <w:color w:val="232323"/>
        </w:rPr>
        <w:t>Physiological Tests</w:t>
      </w:r>
    </w:p>
    <w:p w14:paraId="0CA3F0D1" w14:textId="1AF9F2BB" w:rsidR="001E063B" w:rsidRDefault="001E063B" w:rsidP="0053438D">
      <w:pPr>
        <w:spacing w:line="480" w:lineRule="auto"/>
        <w:rPr>
          <w:rFonts w:cs="Arial"/>
          <w:iCs/>
          <w:color w:val="232323"/>
        </w:rPr>
      </w:pPr>
      <w:r>
        <w:rPr>
          <w:rFonts w:cs="Arial"/>
          <w:iCs/>
          <w:color w:val="232323"/>
        </w:rPr>
        <w:tab/>
        <w:t xml:space="preserve">While waiting for the DNA sequencing results, I moved on to test for physiological </w:t>
      </w:r>
      <w:r w:rsidR="00A760E1">
        <w:rPr>
          <w:rFonts w:cs="Arial"/>
          <w:iCs/>
          <w:color w:val="232323"/>
        </w:rPr>
        <w:t xml:space="preserve">traits. The </w:t>
      </w:r>
      <w:r w:rsidR="00836DB1">
        <w:rPr>
          <w:rFonts w:cs="Arial"/>
          <w:iCs/>
          <w:color w:val="232323"/>
        </w:rPr>
        <w:t xml:space="preserve">physiological </w:t>
      </w:r>
      <w:r w:rsidR="00A760E1">
        <w:rPr>
          <w:rFonts w:cs="Arial"/>
          <w:iCs/>
          <w:color w:val="232323"/>
        </w:rPr>
        <w:t xml:space="preserve">tests </w:t>
      </w:r>
      <w:r w:rsidR="00836DB1">
        <w:rPr>
          <w:rFonts w:cs="Arial"/>
          <w:iCs/>
          <w:color w:val="232323"/>
        </w:rPr>
        <w:t xml:space="preserve">that I conducted were </w:t>
      </w:r>
      <w:r w:rsidR="00A760E1">
        <w:rPr>
          <w:rFonts w:cs="Arial"/>
          <w:iCs/>
          <w:color w:val="232323"/>
        </w:rPr>
        <w:t>the</w:t>
      </w:r>
      <w:r w:rsidR="00836DB1">
        <w:rPr>
          <w:rFonts w:cs="Arial"/>
          <w:iCs/>
          <w:color w:val="232323"/>
        </w:rPr>
        <w:t>:</w:t>
      </w:r>
      <w:r w:rsidR="00A760E1">
        <w:rPr>
          <w:rFonts w:cs="Arial"/>
          <w:iCs/>
          <w:color w:val="232323"/>
        </w:rPr>
        <w:t xml:space="preserve"> Fluid Thioglycollate test (determines oxygen class), Oxidase test (determines if the strain has cytochrome c oxidase; distinguishes between pseudomonad species and enteric species), Catalase test (determines of the strain has catalase, which catalyzes the release of O</w:t>
      </w:r>
      <w:r w:rsidR="00A760E1" w:rsidRPr="00A760E1">
        <w:rPr>
          <w:rFonts w:cs="Arial"/>
          <w:iCs/>
          <w:color w:val="232323"/>
          <w:sz w:val="20"/>
          <w:vertAlign w:val="subscript"/>
        </w:rPr>
        <w:t>2</w:t>
      </w:r>
      <w:r w:rsidR="00A760E1">
        <w:rPr>
          <w:rFonts w:cs="Arial"/>
          <w:iCs/>
          <w:color w:val="232323"/>
        </w:rPr>
        <w:t xml:space="preserve"> from reactive oxyg</w:t>
      </w:r>
      <w:r w:rsidR="007169DB">
        <w:rPr>
          <w:rFonts w:cs="Arial"/>
          <w:iCs/>
          <w:color w:val="232323"/>
        </w:rPr>
        <w:t>en species), and the API-</w:t>
      </w:r>
      <w:r w:rsidR="00A760E1">
        <w:rPr>
          <w:rFonts w:cs="Arial"/>
          <w:iCs/>
          <w:color w:val="232323"/>
        </w:rPr>
        <w:t xml:space="preserve">20 E test strip. The test strip tested the abilities of the isolate to ferment glucose, lactose and mannitol, as well as other physiological abilities as described in the Lab 6 Handout. </w:t>
      </w:r>
    </w:p>
    <w:p w14:paraId="085A32B5" w14:textId="77777777" w:rsidR="00641C72" w:rsidRDefault="00641C72" w:rsidP="0053438D">
      <w:pPr>
        <w:spacing w:line="480" w:lineRule="auto"/>
        <w:rPr>
          <w:rFonts w:cs="Arial"/>
          <w:iCs/>
          <w:color w:val="232323"/>
        </w:rPr>
      </w:pPr>
      <w:r>
        <w:rPr>
          <w:rFonts w:cs="Arial"/>
          <w:b/>
          <w:iCs/>
          <w:color w:val="232323"/>
        </w:rPr>
        <w:t>Genomic Analysis</w:t>
      </w:r>
    </w:p>
    <w:p w14:paraId="075806C0" w14:textId="215848C8" w:rsidR="00641C72" w:rsidRPr="00F935CA" w:rsidRDefault="00641C72" w:rsidP="0053438D">
      <w:pPr>
        <w:spacing w:line="480" w:lineRule="auto"/>
        <w:rPr>
          <w:rFonts w:cs="Arial"/>
          <w:iCs/>
        </w:rPr>
      </w:pPr>
      <w:r>
        <w:rPr>
          <w:rFonts w:cs="Arial"/>
          <w:iCs/>
          <w:color w:val="232323"/>
        </w:rPr>
        <w:tab/>
        <w:t>Once the genome sequencing was done I used Base Space Ilumina to perform the bioinformatics analysis</w:t>
      </w:r>
      <w:r w:rsidR="00954EFB">
        <w:rPr>
          <w:rFonts w:cs="Arial"/>
          <w:iCs/>
          <w:color w:val="232323"/>
        </w:rPr>
        <w:t xml:space="preserve"> using the protocol provided in the Lab 7 Handout</w:t>
      </w:r>
      <w:r>
        <w:rPr>
          <w:rFonts w:cs="Arial"/>
          <w:iCs/>
          <w:color w:val="232323"/>
        </w:rPr>
        <w:t>. This allowed me to taxonomically identify my isolate a</w:t>
      </w:r>
      <w:r w:rsidR="00954EFB">
        <w:rPr>
          <w:rFonts w:cs="Arial"/>
          <w:iCs/>
          <w:color w:val="232323"/>
        </w:rPr>
        <w:t xml:space="preserve">nd to identify the functional genes within. </w:t>
      </w:r>
      <w:r w:rsidR="00F935CA">
        <w:rPr>
          <w:rFonts w:cs="Arial"/>
          <w:iCs/>
        </w:rPr>
        <w:t xml:space="preserve">SPAdes Genome Assembler was used to assemble the genome of my isolate and </w:t>
      </w:r>
      <w:r w:rsidR="00F22D7F">
        <w:rPr>
          <w:rFonts w:cs="Arial"/>
          <w:iCs/>
        </w:rPr>
        <w:t xml:space="preserve">Kraken metagenomics was used to identify my isolate to the species and genus levels. </w:t>
      </w:r>
    </w:p>
    <w:p w14:paraId="5707A1AE" w14:textId="77777777" w:rsidR="00954EFB" w:rsidRDefault="00954EFB" w:rsidP="0053438D">
      <w:pPr>
        <w:spacing w:line="480" w:lineRule="auto"/>
        <w:rPr>
          <w:rFonts w:cs="Arial"/>
          <w:b/>
          <w:iCs/>
          <w:color w:val="232323"/>
        </w:rPr>
      </w:pPr>
      <w:r>
        <w:rPr>
          <w:rFonts w:cs="Arial"/>
          <w:b/>
          <w:iCs/>
          <w:color w:val="232323"/>
        </w:rPr>
        <w:t>Antibiotic Testing</w:t>
      </w:r>
    </w:p>
    <w:p w14:paraId="5AD27750" w14:textId="2BFA1E6F" w:rsidR="00954EFB" w:rsidRDefault="001E19C9" w:rsidP="0053438D">
      <w:pPr>
        <w:spacing w:line="480" w:lineRule="auto"/>
        <w:rPr>
          <w:rFonts w:cs="Arial"/>
          <w:iCs/>
          <w:color w:val="232323"/>
        </w:rPr>
      </w:pPr>
      <w:r>
        <w:rPr>
          <w:rFonts w:cs="Arial"/>
          <w:iCs/>
          <w:color w:val="232323"/>
        </w:rPr>
        <w:tab/>
        <w:t>The susceptibility of the isolate to</w:t>
      </w:r>
      <w:r w:rsidR="00836DB1">
        <w:rPr>
          <w:rFonts w:cs="Arial"/>
          <w:iCs/>
          <w:color w:val="232323"/>
        </w:rPr>
        <w:t xml:space="preserve"> antibiotics was then assessed according to</w:t>
      </w:r>
      <w:r>
        <w:rPr>
          <w:rFonts w:cs="Arial"/>
          <w:iCs/>
          <w:color w:val="232323"/>
        </w:rPr>
        <w:t xml:space="preserve"> the protocols provided in the Lab 9 Handout. The specific antibiotics te</w:t>
      </w:r>
      <w:r w:rsidR="00EC651E">
        <w:rPr>
          <w:rFonts w:cs="Arial"/>
          <w:iCs/>
          <w:color w:val="232323"/>
        </w:rPr>
        <w:t xml:space="preserve">sted were </w:t>
      </w:r>
      <w:r>
        <w:rPr>
          <w:rFonts w:cs="Arial"/>
          <w:iCs/>
          <w:color w:val="232323"/>
        </w:rPr>
        <w:t>Cefaz</w:t>
      </w:r>
      <w:r w:rsidR="00EC651E">
        <w:rPr>
          <w:rFonts w:cs="Arial"/>
          <w:iCs/>
          <w:color w:val="232323"/>
        </w:rPr>
        <w:t xml:space="preserve">olin, </w:t>
      </w:r>
      <w:r>
        <w:rPr>
          <w:rFonts w:cs="Arial"/>
          <w:iCs/>
          <w:color w:val="232323"/>
        </w:rPr>
        <w:t>Clindamycin, Ge</w:t>
      </w:r>
      <w:r w:rsidR="00EC651E">
        <w:rPr>
          <w:rFonts w:cs="Arial"/>
          <w:iCs/>
          <w:color w:val="232323"/>
        </w:rPr>
        <w:t>ntamicin, Oxacillin, Piperacillin, Trimethoprim, Erythromycin, and Tetracycline</w:t>
      </w:r>
      <w:r>
        <w:rPr>
          <w:rFonts w:cs="Arial"/>
          <w:iCs/>
          <w:color w:val="232323"/>
        </w:rPr>
        <w:t xml:space="preserve">. This allowed me to identify what antibiotics could be used to treat my bacterium. </w:t>
      </w:r>
    </w:p>
    <w:p w14:paraId="2A4A8900" w14:textId="77777777" w:rsidR="00836DB1" w:rsidRPr="001912F4" w:rsidRDefault="00836DB1" w:rsidP="00836DB1">
      <w:pPr>
        <w:spacing w:line="480" w:lineRule="auto"/>
        <w:jc w:val="center"/>
        <w:rPr>
          <w:b/>
        </w:rPr>
      </w:pPr>
      <w:bookmarkStart w:id="2" w:name="OLE_LINK3"/>
      <w:bookmarkStart w:id="3" w:name="OLE_LINK4"/>
      <w:r w:rsidRPr="001912F4">
        <w:rPr>
          <w:b/>
        </w:rPr>
        <w:t>Results</w:t>
      </w:r>
    </w:p>
    <w:p w14:paraId="53969FF8" w14:textId="4775A41B" w:rsidR="004D7AB6" w:rsidRDefault="00836DB1" w:rsidP="00836DB1">
      <w:pPr>
        <w:spacing w:line="480" w:lineRule="auto"/>
        <w:ind w:firstLine="720"/>
        <w:rPr>
          <w:noProof/>
        </w:rPr>
      </w:pPr>
      <w:r>
        <w:t xml:space="preserve">The </w:t>
      </w:r>
      <w:r w:rsidR="00EC651E">
        <w:t>species that was assigned to my</w:t>
      </w:r>
      <w:r>
        <w:t xml:space="preserve"> isolate was </w:t>
      </w:r>
      <w:r>
        <w:rPr>
          <w:i/>
        </w:rPr>
        <w:t>Bacillus cereus</w:t>
      </w:r>
      <w:r>
        <w:t xml:space="preserve"> with a</w:t>
      </w:r>
      <w:r w:rsidR="004D7AB6">
        <w:t xml:space="preserve"> 93.39% confidence level (Fig. 2</w:t>
      </w:r>
      <w:r>
        <w:t xml:space="preserve">). 1,344 contigs were obtained from the isolate with the longest contig being 84,168 bp long. The total length of the genome that was assembled was 6,084,234 bp and the guanines and cytosine percent (GC%) was </w:t>
      </w:r>
      <w:r w:rsidR="004D7AB6">
        <w:t>35.18% (Fig. 3</w:t>
      </w:r>
      <w:r>
        <w:t>).</w:t>
      </w:r>
      <w:r w:rsidR="004D7AB6" w:rsidRPr="004D7AB6">
        <w:rPr>
          <w:noProof/>
        </w:rPr>
        <w:t xml:space="preserve"> </w:t>
      </w:r>
    </w:p>
    <w:p w14:paraId="08768598" w14:textId="5483CEA7" w:rsidR="00836DB1" w:rsidRDefault="004D7AB6" w:rsidP="00836DB1">
      <w:pPr>
        <w:spacing w:line="480" w:lineRule="auto"/>
        <w:ind w:firstLine="720"/>
      </w:pPr>
      <w:r>
        <w:rPr>
          <w:noProof/>
        </w:rPr>
        <w:drawing>
          <wp:inline distT="0" distB="0" distL="0" distR="0" wp14:anchorId="07CAB8A1" wp14:editId="0719B782">
            <wp:extent cx="4457700" cy="3351032"/>
            <wp:effectExtent l="0" t="0" r="0" b="1905"/>
            <wp:docPr id="1" name="Picture 1" descr="Macintosh HD:Users:courtneycox:Desktop:IMG_4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ourtneycox:Desktop:IMG_44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3351032"/>
                    </a:xfrm>
                    <a:prstGeom prst="rect">
                      <a:avLst/>
                    </a:prstGeom>
                    <a:noFill/>
                    <a:ln>
                      <a:noFill/>
                    </a:ln>
                  </pic:spPr>
                </pic:pic>
              </a:graphicData>
            </a:graphic>
          </wp:inline>
        </w:drawing>
      </w:r>
    </w:p>
    <w:p w14:paraId="5F9BAEA3" w14:textId="29DC6A5E" w:rsidR="004D7AB6" w:rsidRPr="007169DB" w:rsidRDefault="004D7AB6" w:rsidP="007169DB">
      <w:pPr>
        <w:spacing w:line="480" w:lineRule="auto"/>
        <w:ind w:firstLine="720"/>
        <w:jc w:val="center"/>
      </w:pPr>
      <w:r>
        <w:rPr>
          <w:b/>
        </w:rPr>
        <w:t>Figure 1.</w:t>
      </w:r>
      <w:r w:rsidR="007169DB">
        <w:rPr>
          <w:b/>
        </w:rPr>
        <w:t xml:space="preserve"> </w:t>
      </w:r>
      <w:r w:rsidR="007169DB">
        <w:t xml:space="preserve">Targeted colony of </w:t>
      </w:r>
      <w:r w:rsidR="007169DB">
        <w:rPr>
          <w:i/>
        </w:rPr>
        <w:t xml:space="preserve">B. cereus </w:t>
      </w:r>
      <w:r w:rsidR="007169DB">
        <w:t>on TSA plate.</w:t>
      </w:r>
    </w:p>
    <w:p w14:paraId="45EFBB5C" w14:textId="77777777" w:rsidR="00836DB1" w:rsidRPr="001912F4" w:rsidRDefault="00836DB1" w:rsidP="00836DB1">
      <w:pPr>
        <w:spacing w:line="480" w:lineRule="auto"/>
        <w:jc w:val="center"/>
      </w:pPr>
      <w:r w:rsidRPr="001912F4">
        <w:rPr>
          <w:noProof/>
        </w:rPr>
        <w:drawing>
          <wp:inline distT="0" distB="0" distL="0" distR="0" wp14:anchorId="665EFFDF" wp14:editId="658AFB41">
            <wp:extent cx="3324225" cy="3681153"/>
            <wp:effectExtent l="0" t="0" r="0" b="0"/>
            <wp:docPr id="2" name="Picture 2" descr="C:\Users\cwcox\Desktop\Krona for Microbi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wcox\Desktop\Krona for Microbiolog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3681153"/>
                    </a:xfrm>
                    <a:prstGeom prst="rect">
                      <a:avLst/>
                    </a:prstGeom>
                    <a:noFill/>
                    <a:ln>
                      <a:noFill/>
                    </a:ln>
                  </pic:spPr>
                </pic:pic>
              </a:graphicData>
            </a:graphic>
          </wp:inline>
        </w:drawing>
      </w:r>
    </w:p>
    <w:p w14:paraId="18F39988" w14:textId="42EF7008" w:rsidR="00836DB1" w:rsidRDefault="004D7AB6" w:rsidP="00836DB1">
      <w:pPr>
        <w:spacing w:line="480" w:lineRule="auto"/>
        <w:jc w:val="center"/>
      </w:pPr>
      <w:r>
        <w:rPr>
          <w:b/>
        </w:rPr>
        <w:t>Figure 2</w:t>
      </w:r>
      <w:r w:rsidR="00836DB1" w:rsidRPr="001912F4">
        <w:rPr>
          <w:b/>
        </w:rPr>
        <w:t xml:space="preserve">. </w:t>
      </w:r>
      <w:r w:rsidR="00836DB1" w:rsidRPr="001912F4">
        <w:t xml:space="preserve">Percentage of species found in isolate, revealed that 85 percent of the isolate is </w:t>
      </w:r>
      <w:r w:rsidR="00836DB1" w:rsidRPr="001912F4">
        <w:rPr>
          <w:i/>
        </w:rPr>
        <w:t>Bacillus cereus</w:t>
      </w:r>
      <w:r w:rsidR="00836DB1" w:rsidRPr="001912F4">
        <w:t xml:space="preserve">. </w:t>
      </w:r>
    </w:p>
    <w:p w14:paraId="5455B977" w14:textId="77777777" w:rsidR="00836DB1" w:rsidRDefault="00836DB1" w:rsidP="00836DB1">
      <w:pPr>
        <w:spacing w:line="480" w:lineRule="auto"/>
        <w:jc w:val="center"/>
      </w:pPr>
      <w:r w:rsidRPr="001912F4">
        <w:rPr>
          <w:noProof/>
        </w:rPr>
        <w:drawing>
          <wp:inline distT="0" distB="0" distL="0" distR="0" wp14:anchorId="1FD5E660" wp14:editId="6BF3AAB8">
            <wp:extent cx="3190441" cy="3810000"/>
            <wp:effectExtent l="0" t="0" r="0" b="0"/>
            <wp:docPr id="3" name="Picture 3" descr="C:\Users\cwcox\Desktop\Genome Assembly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wcox\Desktop\Genome Assembly Repor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8499" cy="3831565"/>
                    </a:xfrm>
                    <a:prstGeom prst="rect">
                      <a:avLst/>
                    </a:prstGeom>
                    <a:noFill/>
                    <a:ln>
                      <a:noFill/>
                    </a:ln>
                  </pic:spPr>
                </pic:pic>
              </a:graphicData>
            </a:graphic>
          </wp:inline>
        </w:drawing>
      </w:r>
    </w:p>
    <w:p w14:paraId="77B8F9DF" w14:textId="65E65DA6" w:rsidR="00836DB1" w:rsidRDefault="004D7AB6" w:rsidP="00836DB1">
      <w:pPr>
        <w:spacing w:line="480" w:lineRule="auto"/>
        <w:jc w:val="center"/>
      </w:pPr>
      <w:r>
        <w:rPr>
          <w:b/>
        </w:rPr>
        <w:t>Figure 3</w:t>
      </w:r>
      <w:r w:rsidR="00836DB1">
        <w:rPr>
          <w:b/>
        </w:rPr>
        <w:t>.</w:t>
      </w:r>
      <w:r w:rsidR="00836DB1">
        <w:t xml:space="preserve"> Overall results for genome assembly.  </w:t>
      </w:r>
    </w:p>
    <w:p w14:paraId="0E56D295" w14:textId="77777777" w:rsidR="00836DB1" w:rsidRPr="00B87A83" w:rsidRDefault="00836DB1" w:rsidP="00836DB1">
      <w:pPr>
        <w:spacing w:line="480" w:lineRule="auto"/>
        <w:jc w:val="center"/>
      </w:pPr>
      <w:r>
        <w:rPr>
          <w:b/>
        </w:rPr>
        <w:t>Table 1.</w:t>
      </w:r>
      <w:r>
        <w:t xml:space="preserve"> Tests used to help determine the species of the isolate.</w:t>
      </w:r>
    </w:p>
    <w:tbl>
      <w:tblPr>
        <w:tblStyle w:val="TableGrid"/>
        <w:tblW w:w="0" w:type="auto"/>
        <w:jc w:val="center"/>
        <w:tblLook w:val="04A0" w:firstRow="1" w:lastRow="0" w:firstColumn="1" w:lastColumn="0" w:noHBand="0" w:noVBand="1"/>
      </w:tblPr>
      <w:tblGrid>
        <w:gridCol w:w="2978"/>
        <w:gridCol w:w="2900"/>
        <w:gridCol w:w="2978"/>
      </w:tblGrid>
      <w:tr w:rsidR="00836DB1" w14:paraId="60CAAFA5" w14:textId="77777777" w:rsidTr="00AA1DA0">
        <w:trPr>
          <w:jc w:val="center"/>
        </w:trPr>
        <w:tc>
          <w:tcPr>
            <w:tcW w:w="3192" w:type="dxa"/>
          </w:tcPr>
          <w:p w14:paraId="33D94744" w14:textId="77777777" w:rsidR="00836DB1" w:rsidRDefault="00836DB1" w:rsidP="00AA1DA0">
            <w:pPr>
              <w:jc w:val="center"/>
              <w:rPr>
                <w:sz w:val="24"/>
                <w:szCs w:val="24"/>
              </w:rPr>
            </w:pPr>
            <w:r>
              <w:rPr>
                <w:sz w:val="24"/>
                <w:szCs w:val="24"/>
              </w:rPr>
              <w:t>Test</w:t>
            </w:r>
          </w:p>
        </w:tc>
        <w:tc>
          <w:tcPr>
            <w:tcW w:w="3192" w:type="dxa"/>
          </w:tcPr>
          <w:p w14:paraId="318FCAD4" w14:textId="77777777" w:rsidR="00836DB1" w:rsidRDefault="00836DB1" w:rsidP="00AA1DA0">
            <w:pPr>
              <w:spacing w:line="480" w:lineRule="auto"/>
              <w:jc w:val="center"/>
              <w:rPr>
                <w:sz w:val="24"/>
                <w:szCs w:val="24"/>
              </w:rPr>
            </w:pPr>
            <w:r>
              <w:rPr>
                <w:sz w:val="24"/>
                <w:szCs w:val="24"/>
              </w:rPr>
              <w:t>Result</w:t>
            </w:r>
          </w:p>
        </w:tc>
        <w:tc>
          <w:tcPr>
            <w:tcW w:w="3192" w:type="dxa"/>
          </w:tcPr>
          <w:p w14:paraId="7464F9A9" w14:textId="77777777" w:rsidR="00836DB1" w:rsidRDefault="00836DB1" w:rsidP="00AA1DA0">
            <w:pPr>
              <w:spacing w:line="480" w:lineRule="auto"/>
              <w:jc w:val="center"/>
              <w:rPr>
                <w:sz w:val="24"/>
                <w:szCs w:val="24"/>
              </w:rPr>
            </w:pPr>
            <w:r>
              <w:rPr>
                <w:sz w:val="24"/>
                <w:szCs w:val="24"/>
              </w:rPr>
              <w:t>Reaction</w:t>
            </w:r>
          </w:p>
        </w:tc>
      </w:tr>
      <w:tr w:rsidR="00836DB1" w14:paraId="5B981D23" w14:textId="77777777" w:rsidTr="00AA1DA0">
        <w:trPr>
          <w:jc w:val="center"/>
        </w:trPr>
        <w:tc>
          <w:tcPr>
            <w:tcW w:w="3192" w:type="dxa"/>
          </w:tcPr>
          <w:p w14:paraId="5AC13278" w14:textId="77777777" w:rsidR="00836DB1" w:rsidRDefault="00836DB1" w:rsidP="00AA1DA0">
            <w:pPr>
              <w:jc w:val="center"/>
              <w:rPr>
                <w:sz w:val="24"/>
                <w:szCs w:val="24"/>
              </w:rPr>
            </w:pPr>
            <w:r>
              <w:rPr>
                <w:sz w:val="24"/>
                <w:szCs w:val="24"/>
              </w:rPr>
              <w:t>Gram Stain</w:t>
            </w:r>
          </w:p>
        </w:tc>
        <w:tc>
          <w:tcPr>
            <w:tcW w:w="3192" w:type="dxa"/>
          </w:tcPr>
          <w:p w14:paraId="40BA0427" w14:textId="77777777" w:rsidR="00836DB1" w:rsidRDefault="00836DB1" w:rsidP="00AA1DA0">
            <w:pPr>
              <w:spacing w:line="480" w:lineRule="auto"/>
              <w:jc w:val="center"/>
              <w:rPr>
                <w:sz w:val="24"/>
                <w:szCs w:val="24"/>
              </w:rPr>
            </w:pPr>
            <w:r>
              <w:rPr>
                <w:sz w:val="24"/>
                <w:szCs w:val="24"/>
              </w:rPr>
              <w:t>Gram-positive</w:t>
            </w:r>
          </w:p>
        </w:tc>
        <w:tc>
          <w:tcPr>
            <w:tcW w:w="3192" w:type="dxa"/>
          </w:tcPr>
          <w:p w14:paraId="3B3E2ED9" w14:textId="23F61E3F" w:rsidR="00836DB1" w:rsidRDefault="00E90DCD" w:rsidP="00E90DCD">
            <w:pPr>
              <w:jc w:val="center"/>
              <w:rPr>
                <w:sz w:val="24"/>
                <w:szCs w:val="24"/>
              </w:rPr>
            </w:pPr>
            <w:r>
              <w:rPr>
                <w:sz w:val="24"/>
                <w:szCs w:val="24"/>
              </w:rPr>
              <w:t>Gram classification</w:t>
            </w:r>
          </w:p>
        </w:tc>
      </w:tr>
      <w:tr w:rsidR="00836DB1" w14:paraId="105333A3" w14:textId="77777777" w:rsidTr="00AA1DA0">
        <w:trPr>
          <w:jc w:val="center"/>
        </w:trPr>
        <w:tc>
          <w:tcPr>
            <w:tcW w:w="3192" w:type="dxa"/>
          </w:tcPr>
          <w:p w14:paraId="75A2AD8A" w14:textId="77777777" w:rsidR="00836DB1" w:rsidRDefault="00836DB1" w:rsidP="00AA1DA0">
            <w:pPr>
              <w:spacing w:line="480" w:lineRule="auto"/>
              <w:jc w:val="center"/>
              <w:rPr>
                <w:sz w:val="24"/>
                <w:szCs w:val="24"/>
              </w:rPr>
            </w:pPr>
            <w:r>
              <w:rPr>
                <w:sz w:val="24"/>
                <w:szCs w:val="24"/>
              </w:rPr>
              <w:t>Fluid Thioglycollate Test</w:t>
            </w:r>
          </w:p>
        </w:tc>
        <w:tc>
          <w:tcPr>
            <w:tcW w:w="3192" w:type="dxa"/>
          </w:tcPr>
          <w:p w14:paraId="7CE88190" w14:textId="77777777" w:rsidR="00836DB1" w:rsidRDefault="00836DB1" w:rsidP="00AA1DA0">
            <w:pPr>
              <w:spacing w:line="480" w:lineRule="auto"/>
              <w:jc w:val="center"/>
              <w:rPr>
                <w:sz w:val="24"/>
                <w:szCs w:val="24"/>
              </w:rPr>
            </w:pPr>
            <w:r>
              <w:rPr>
                <w:sz w:val="24"/>
                <w:szCs w:val="24"/>
              </w:rPr>
              <w:t>Strict Aerobe</w:t>
            </w:r>
          </w:p>
        </w:tc>
        <w:tc>
          <w:tcPr>
            <w:tcW w:w="3192" w:type="dxa"/>
          </w:tcPr>
          <w:p w14:paraId="7EBF6A05" w14:textId="77777777" w:rsidR="00836DB1" w:rsidRDefault="00836DB1" w:rsidP="00AA1DA0">
            <w:pPr>
              <w:spacing w:line="480" w:lineRule="auto"/>
              <w:jc w:val="center"/>
              <w:rPr>
                <w:sz w:val="24"/>
                <w:szCs w:val="24"/>
              </w:rPr>
            </w:pPr>
            <w:r>
              <w:rPr>
                <w:sz w:val="24"/>
                <w:szCs w:val="24"/>
              </w:rPr>
              <w:t>Determined oxygen class</w:t>
            </w:r>
          </w:p>
        </w:tc>
      </w:tr>
      <w:tr w:rsidR="00836DB1" w14:paraId="7D4068F6" w14:textId="77777777" w:rsidTr="00AA1DA0">
        <w:trPr>
          <w:jc w:val="center"/>
        </w:trPr>
        <w:tc>
          <w:tcPr>
            <w:tcW w:w="3192" w:type="dxa"/>
          </w:tcPr>
          <w:p w14:paraId="62F0A464" w14:textId="77777777" w:rsidR="00836DB1" w:rsidRDefault="00836DB1" w:rsidP="00AA1DA0">
            <w:pPr>
              <w:spacing w:line="480" w:lineRule="auto"/>
              <w:jc w:val="center"/>
              <w:rPr>
                <w:sz w:val="24"/>
                <w:szCs w:val="24"/>
              </w:rPr>
            </w:pPr>
            <w:r>
              <w:rPr>
                <w:sz w:val="24"/>
                <w:szCs w:val="24"/>
              </w:rPr>
              <w:t>Oxidase Test</w:t>
            </w:r>
          </w:p>
        </w:tc>
        <w:tc>
          <w:tcPr>
            <w:tcW w:w="3192" w:type="dxa"/>
          </w:tcPr>
          <w:p w14:paraId="44DF88AA" w14:textId="77777777" w:rsidR="00836DB1" w:rsidRDefault="00836DB1" w:rsidP="00AA1DA0">
            <w:pPr>
              <w:jc w:val="center"/>
              <w:rPr>
                <w:sz w:val="24"/>
                <w:szCs w:val="24"/>
              </w:rPr>
            </w:pPr>
            <w:r>
              <w:rPr>
                <w:sz w:val="24"/>
                <w:szCs w:val="24"/>
              </w:rPr>
              <w:t>Positive</w:t>
            </w:r>
          </w:p>
          <w:p w14:paraId="4E8AB0A8" w14:textId="77777777" w:rsidR="00836DB1" w:rsidRDefault="00836DB1" w:rsidP="00AA1DA0">
            <w:pPr>
              <w:rPr>
                <w:sz w:val="24"/>
                <w:szCs w:val="24"/>
              </w:rPr>
            </w:pPr>
          </w:p>
        </w:tc>
        <w:tc>
          <w:tcPr>
            <w:tcW w:w="3192" w:type="dxa"/>
          </w:tcPr>
          <w:p w14:paraId="39A80123" w14:textId="77777777" w:rsidR="00836DB1" w:rsidRDefault="00836DB1" w:rsidP="00AA1DA0">
            <w:pPr>
              <w:jc w:val="center"/>
              <w:rPr>
                <w:sz w:val="24"/>
                <w:szCs w:val="24"/>
              </w:rPr>
            </w:pPr>
            <w:r>
              <w:rPr>
                <w:sz w:val="24"/>
                <w:szCs w:val="24"/>
              </w:rPr>
              <w:t>Distinguish between pseudomonad and enteric species</w:t>
            </w:r>
          </w:p>
        </w:tc>
      </w:tr>
      <w:tr w:rsidR="00836DB1" w14:paraId="1CFFE76C" w14:textId="77777777" w:rsidTr="00AA1DA0">
        <w:trPr>
          <w:jc w:val="center"/>
        </w:trPr>
        <w:tc>
          <w:tcPr>
            <w:tcW w:w="3192" w:type="dxa"/>
          </w:tcPr>
          <w:p w14:paraId="2B07AFFC" w14:textId="77777777" w:rsidR="00836DB1" w:rsidRDefault="00836DB1" w:rsidP="00AA1DA0">
            <w:pPr>
              <w:spacing w:line="480" w:lineRule="auto"/>
              <w:jc w:val="center"/>
              <w:rPr>
                <w:sz w:val="24"/>
                <w:szCs w:val="24"/>
              </w:rPr>
            </w:pPr>
            <w:r>
              <w:rPr>
                <w:sz w:val="24"/>
                <w:szCs w:val="24"/>
              </w:rPr>
              <w:t>Catalase Test</w:t>
            </w:r>
          </w:p>
        </w:tc>
        <w:tc>
          <w:tcPr>
            <w:tcW w:w="3192" w:type="dxa"/>
          </w:tcPr>
          <w:p w14:paraId="60F731E2" w14:textId="77777777" w:rsidR="00836DB1" w:rsidRDefault="00836DB1" w:rsidP="00AA1DA0">
            <w:pPr>
              <w:spacing w:line="480" w:lineRule="auto"/>
              <w:jc w:val="center"/>
              <w:rPr>
                <w:sz w:val="24"/>
                <w:szCs w:val="24"/>
              </w:rPr>
            </w:pPr>
            <w:r>
              <w:rPr>
                <w:sz w:val="24"/>
                <w:szCs w:val="24"/>
              </w:rPr>
              <w:t>Negative</w:t>
            </w:r>
          </w:p>
        </w:tc>
        <w:tc>
          <w:tcPr>
            <w:tcW w:w="3192" w:type="dxa"/>
          </w:tcPr>
          <w:p w14:paraId="0641950E" w14:textId="77777777" w:rsidR="00836DB1" w:rsidRDefault="00836DB1" w:rsidP="00AA1DA0">
            <w:pPr>
              <w:jc w:val="center"/>
              <w:rPr>
                <w:sz w:val="24"/>
                <w:szCs w:val="24"/>
              </w:rPr>
            </w:pPr>
            <w:r>
              <w:rPr>
                <w:sz w:val="24"/>
                <w:szCs w:val="24"/>
              </w:rPr>
              <w:t>Determined if isolate can catalyze the release of O</w:t>
            </w:r>
            <w:r w:rsidRPr="00E90DCD">
              <w:rPr>
                <w:sz w:val="24"/>
                <w:szCs w:val="24"/>
                <w:vertAlign w:val="subscript"/>
              </w:rPr>
              <w:t>2</w:t>
            </w:r>
            <w:r>
              <w:rPr>
                <w:sz w:val="24"/>
                <w:szCs w:val="24"/>
              </w:rPr>
              <w:t xml:space="preserve"> from H</w:t>
            </w:r>
            <w:r w:rsidRPr="00E90DCD">
              <w:rPr>
                <w:sz w:val="24"/>
                <w:szCs w:val="24"/>
                <w:vertAlign w:val="subscript"/>
              </w:rPr>
              <w:t>2</w:t>
            </w:r>
            <w:r>
              <w:rPr>
                <w:sz w:val="24"/>
                <w:szCs w:val="24"/>
              </w:rPr>
              <w:t>O</w:t>
            </w:r>
            <w:r w:rsidRPr="00E90DCD">
              <w:rPr>
                <w:sz w:val="24"/>
                <w:szCs w:val="24"/>
                <w:vertAlign w:val="subscript"/>
              </w:rPr>
              <w:t>2</w:t>
            </w:r>
          </w:p>
        </w:tc>
      </w:tr>
      <w:tr w:rsidR="00836DB1" w14:paraId="5803AEC9" w14:textId="77777777" w:rsidTr="00AA1DA0">
        <w:trPr>
          <w:jc w:val="center"/>
        </w:trPr>
        <w:tc>
          <w:tcPr>
            <w:tcW w:w="6384" w:type="dxa"/>
            <w:gridSpan w:val="2"/>
          </w:tcPr>
          <w:p w14:paraId="205DC997" w14:textId="77777777" w:rsidR="00836DB1" w:rsidRDefault="00836DB1" w:rsidP="00AA1DA0">
            <w:pPr>
              <w:spacing w:line="480" w:lineRule="auto"/>
              <w:jc w:val="center"/>
              <w:rPr>
                <w:sz w:val="24"/>
                <w:szCs w:val="24"/>
              </w:rPr>
            </w:pPr>
            <w:r>
              <w:rPr>
                <w:sz w:val="24"/>
                <w:szCs w:val="24"/>
              </w:rPr>
              <w:t>API 20 Strep Test Strip</w:t>
            </w:r>
          </w:p>
        </w:tc>
        <w:tc>
          <w:tcPr>
            <w:tcW w:w="3192" w:type="dxa"/>
          </w:tcPr>
          <w:p w14:paraId="490B77E7" w14:textId="77777777" w:rsidR="00836DB1" w:rsidRDefault="00836DB1" w:rsidP="00AA1DA0">
            <w:pPr>
              <w:spacing w:line="480" w:lineRule="auto"/>
              <w:jc w:val="center"/>
              <w:rPr>
                <w:sz w:val="24"/>
                <w:szCs w:val="24"/>
              </w:rPr>
            </w:pPr>
          </w:p>
        </w:tc>
      </w:tr>
      <w:tr w:rsidR="00836DB1" w14:paraId="0238B69A" w14:textId="77777777" w:rsidTr="00AA1DA0">
        <w:trPr>
          <w:jc w:val="center"/>
        </w:trPr>
        <w:tc>
          <w:tcPr>
            <w:tcW w:w="3192" w:type="dxa"/>
          </w:tcPr>
          <w:p w14:paraId="20553501" w14:textId="77777777" w:rsidR="00836DB1" w:rsidRDefault="00836DB1" w:rsidP="00AA1DA0">
            <w:pPr>
              <w:spacing w:line="480" w:lineRule="auto"/>
              <w:jc w:val="center"/>
              <w:rPr>
                <w:sz w:val="24"/>
                <w:szCs w:val="24"/>
              </w:rPr>
            </w:pPr>
            <w:r>
              <w:rPr>
                <w:sz w:val="24"/>
                <w:szCs w:val="24"/>
              </w:rPr>
              <w:t>VP</w:t>
            </w:r>
          </w:p>
        </w:tc>
        <w:tc>
          <w:tcPr>
            <w:tcW w:w="3192" w:type="dxa"/>
          </w:tcPr>
          <w:p w14:paraId="7FDF34FC" w14:textId="77777777" w:rsidR="00836DB1" w:rsidRDefault="00836DB1" w:rsidP="00AA1DA0">
            <w:pPr>
              <w:spacing w:line="480" w:lineRule="auto"/>
              <w:jc w:val="center"/>
              <w:rPr>
                <w:sz w:val="24"/>
                <w:szCs w:val="24"/>
              </w:rPr>
            </w:pPr>
            <w:r>
              <w:rPr>
                <w:sz w:val="24"/>
                <w:szCs w:val="24"/>
              </w:rPr>
              <w:t>Positive</w:t>
            </w:r>
          </w:p>
        </w:tc>
        <w:tc>
          <w:tcPr>
            <w:tcW w:w="3192" w:type="dxa"/>
          </w:tcPr>
          <w:p w14:paraId="3100AEA5" w14:textId="77777777" w:rsidR="00836DB1" w:rsidRDefault="00836DB1" w:rsidP="00AA1DA0">
            <w:pPr>
              <w:spacing w:line="480" w:lineRule="auto"/>
              <w:jc w:val="center"/>
              <w:rPr>
                <w:sz w:val="24"/>
                <w:szCs w:val="24"/>
              </w:rPr>
            </w:pPr>
            <w:r>
              <w:rPr>
                <w:sz w:val="24"/>
                <w:szCs w:val="24"/>
              </w:rPr>
              <w:t>Acetoin Production</w:t>
            </w:r>
          </w:p>
        </w:tc>
      </w:tr>
      <w:tr w:rsidR="00836DB1" w14:paraId="097B9CD1" w14:textId="77777777" w:rsidTr="00AA1DA0">
        <w:trPr>
          <w:jc w:val="center"/>
        </w:trPr>
        <w:tc>
          <w:tcPr>
            <w:tcW w:w="3192" w:type="dxa"/>
          </w:tcPr>
          <w:p w14:paraId="54C1F06F" w14:textId="77777777" w:rsidR="00836DB1" w:rsidRDefault="00836DB1" w:rsidP="00AA1DA0">
            <w:pPr>
              <w:spacing w:line="480" w:lineRule="auto"/>
              <w:jc w:val="center"/>
              <w:rPr>
                <w:sz w:val="24"/>
                <w:szCs w:val="24"/>
              </w:rPr>
            </w:pPr>
            <w:r>
              <w:rPr>
                <w:sz w:val="24"/>
                <w:szCs w:val="24"/>
              </w:rPr>
              <w:t>ESC</w:t>
            </w:r>
          </w:p>
        </w:tc>
        <w:tc>
          <w:tcPr>
            <w:tcW w:w="3192" w:type="dxa"/>
          </w:tcPr>
          <w:p w14:paraId="2F31BEE6" w14:textId="77777777" w:rsidR="00836DB1" w:rsidRDefault="00836DB1" w:rsidP="00AA1DA0">
            <w:pPr>
              <w:spacing w:line="480" w:lineRule="auto"/>
              <w:jc w:val="center"/>
              <w:rPr>
                <w:sz w:val="24"/>
                <w:szCs w:val="24"/>
              </w:rPr>
            </w:pPr>
            <w:r>
              <w:rPr>
                <w:sz w:val="24"/>
                <w:szCs w:val="24"/>
              </w:rPr>
              <w:t>Positive</w:t>
            </w:r>
          </w:p>
        </w:tc>
        <w:tc>
          <w:tcPr>
            <w:tcW w:w="3192" w:type="dxa"/>
          </w:tcPr>
          <w:p w14:paraId="22754F9A" w14:textId="77777777" w:rsidR="00836DB1" w:rsidRDefault="00836DB1" w:rsidP="00AA1DA0">
            <w:pPr>
              <w:spacing w:line="480" w:lineRule="auto"/>
              <w:jc w:val="center"/>
              <w:rPr>
                <w:sz w:val="24"/>
                <w:szCs w:val="24"/>
              </w:rPr>
            </w:pPr>
            <w:r>
              <w:rPr>
                <w:sz w:val="24"/>
                <w:szCs w:val="24"/>
              </w:rPr>
              <w:t>Esculin Hydrolysis</w:t>
            </w:r>
          </w:p>
        </w:tc>
      </w:tr>
      <w:tr w:rsidR="00836DB1" w14:paraId="1246DB3E" w14:textId="77777777" w:rsidTr="00AA1DA0">
        <w:trPr>
          <w:jc w:val="center"/>
        </w:trPr>
        <w:tc>
          <w:tcPr>
            <w:tcW w:w="3192" w:type="dxa"/>
          </w:tcPr>
          <w:p w14:paraId="663BB78B" w14:textId="77777777" w:rsidR="00836DB1" w:rsidRDefault="00836DB1" w:rsidP="00AA1DA0">
            <w:pPr>
              <w:spacing w:line="480" w:lineRule="auto"/>
              <w:jc w:val="center"/>
              <w:rPr>
                <w:sz w:val="24"/>
                <w:szCs w:val="24"/>
              </w:rPr>
            </w:pPr>
            <w:r>
              <w:rPr>
                <w:sz w:val="24"/>
                <w:szCs w:val="24"/>
              </w:rPr>
              <w:t>ADH</w:t>
            </w:r>
          </w:p>
        </w:tc>
        <w:tc>
          <w:tcPr>
            <w:tcW w:w="3192" w:type="dxa"/>
          </w:tcPr>
          <w:p w14:paraId="1BFD437D" w14:textId="77777777" w:rsidR="00836DB1" w:rsidRDefault="00836DB1" w:rsidP="00AA1DA0">
            <w:pPr>
              <w:spacing w:line="480" w:lineRule="auto"/>
              <w:jc w:val="center"/>
              <w:rPr>
                <w:sz w:val="24"/>
                <w:szCs w:val="24"/>
              </w:rPr>
            </w:pPr>
            <w:r>
              <w:rPr>
                <w:sz w:val="24"/>
                <w:szCs w:val="24"/>
              </w:rPr>
              <w:t>Positive</w:t>
            </w:r>
          </w:p>
        </w:tc>
        <w:tc>
          <w:tcPr>
            <w:tcW w:w="3192" w:type="dxa"/>
          </w:tcPr>
          <w:p w14:paraId="5E12CCC7" w14:textId="77777777" w:rsidR="00836DB1" w:rsidRDefault="00836DB1" w:rsidP="00AA1DA0">
            <w:pPr>
              <w:spacing w:line="480" w:lineRule="auto"/>
              <w:jc w:val="center"/>
              <w:rPr>
                <w:sz w:val="24"/>
                <w:szCs w:val="24"/>
              </w:rPr>
            </w:pPr>
            <w:r>
              <w:rPr>
                <w:sz w:val="24"/>
                <w:szCs w:val="24"/>
              </w:rPr>
              <w:t>Arginine Dihydrolase</w:t>
            </w:r>
          </w:p>
        </w:tc>
      </w:tr>
      <w:tr w:rsidR="00836DB1" w14:paraId="6619E78C" w14:textId="77777777" w:rsidTr="00AA1DA0">
        <w:trPr>
          <w:jc w:val="center"/>
        </w:trPr>
        <w:tc>
          <w:tcPr>
            <w:tcW w:w="3192" w:type="dxa"/>
          </w:tcPr>
          <w:p w14:paraId="4355910C" w14:textId="77777777" w:rsidR="00836DB1" w:rsidRDefault="00836DB1" w:rsidP="00AA1DA0">
            <w:pPr>
              <w:spacing w:line="480" w:lineRule="auto"/>
              <w:jc w:val="center"/>
              <w:rPr>
                <w:sz w:val="24"/>
                <w:szCs w:val="24"/>
              </w:rPr>
            </w:pPr>
            <w:r>
              <w:rPr>
                <w:sz w:val="24"/>
                <w:szCs w:val="24"/>
              </w:rPr>
              <w:t>ARA</w:t>
            </w:r>
          </w:p>
        </w:tc>
        <w:tc>
          <w:tcPr>
            <w:tcW w:w="3192" w:type="dxa"/>
          </w:tcPr>
          <w:p w14:paraId="44AA43B0" w14:textId="77777777" w:rsidR="00836DB1" w:rsidRDefault="00836DB1" w:rsidP="00AA1DA0">
            <w:pPr>
              <w:spacing w:line="480" w:lineRule="auto"/>
              <w:jc w:val="center"/>
              <w:rPr>
                <w:sz w:val="24"/>
                <w:szCs w:val="24"/>
              </w:rPr>
            </w:pPr>
            <w:r>
              <w:rPr>
                <w:sz w:val="24"/>
                <w:szCs w:val="24"/>
              </w:rPr>
              <w:t>Positive</w:t>
            </w:r>
          </w:p>
        </w:tc>
        <w:tc>
          <w:tcPr>
            <w:tcW w:w="3192" w:type="dxa"/>
          </w:tcPr>
          <w:p w14:paraId="52F397F8" w14:textId="77777777" w:rsidR="00836DB1" w:rsidRDefault="00836DB1" w:rsidP="00AA1DA0">
            <w:pPr>
              <w:spacing w:line="480" w:lineRule="auto"/>
              <w:jc w:val="center"/>
              <w:rPr>
                <w:sz w:val="24"/>
                <w:szCs w:val="24"/>
              </w:rPr>
            </w:pPr>
            <w:r>
              <w:rPr>
                <w:sz w:val="24"/>
                <w:szCs w:val="24"/>
              </w:rPr>
              <w:t>Arabinose Fermentation</w:t>
            </w:r>
          </w:p>
        </w:tc>
      </w:tr>
      <w:tr w:rsidR="00836DB1" w14:paraId="1BC63842" w14:textId="77777777" w:rsidTr="00AA1DA0">
        <w:trPr>
          <w:jc w:val="center"/>
        </w:trPr>
        <w:tc>
          <w:tcPr>
            <w:tcW w:w="3192" w:type="dxa"/>
          </w:tcPr>
          <w:p w14:paraId="0AD4D9A1" w14:textId="77777777" w:rsidR="00836DB1" w:rsidRDefault="00836DB1" w:rsidP="00AA1DA0">
            <w:pPr>
              <w:spacing w:line="480" w:lineRule="auto"/>
              <w:jc w:val="center"/>
              <w:rPr>
                <w:sz w:val="24"/>
                <w:szCs w:val="24"/>
              </w:rPr>
            </w:pPr>
            <w:r>
              <w:rPr>
                <w:sz w:val="24"/>
                <w:szCs w:val="24"/>
              </w:rPr>
              <w:t>MAN</w:t>
            </w:r>
          </w:p>
        </w:tc>
        <w:tc>
          <w:tcPr>
            <w:tcW w:w="3192" w:type="dxa"/>
          </w:tcPr>
          <w:p w14:paraId="22AD9AF4" w14:textId="77777777" w:rsidR="00836DB1" w:rsidRDefault="00836DB1" w:rsidP="00AA1DA0">
            <w:pPr>
              <w:spacing w:line="480" w:lineRule="auto"/>
              <w:jc w:val="center"/>
              <w:rPr>
                <w:sz w:val="24"/>
                <w:szCs w:val="24"/>
              </w:rPr>
            </w:pPr>
            <w:r>
              <w:rPr>
                <w:sz w:val="24"/>
                <w:szCs w:val="24"/>
              </w:rPr>
              <w:t>Positive</w:t>
            </w:r>
          </w:p>
        </w:tc>
        <w:tc>
          <w:tcPr>
            <w:tcW w:w="3192" w:type="dxa"/>
          </w:tcPr>
          <w:p w14:paraId="791E5595" w14:textId="77777777" w:rsidR="00836DB1" w:rsidRDefault="00836DB1" w:rsidP="00AA1DA0">
            <w:pPr>
              <w:spacing w:line="480" w:lineRule="auto"/>
              <w:jc w:val="center"/>
              <w:rPr>
                <w:sz w:val="24"/>
                <w:szCs w:val="24"/>
              </w:rPr>
            </w:pPr>
            <w:r>
              <w:rPr>
                <w:sz w:val="24"/>
                <w:szCs w:val="24"/>
              </w:rPr>
              <w:t>Mannitol Fermentation</w:t>
            </w:r>
          </w:p>
        </w:tc>
      </w:tr>
      <w:tr w:rsidR="00836DB1" w14:paraId="62D47BE3" w14:textId="77777777" w:rsidTr="00AA1DA0">
        <w:trPr>
          <w:jc w:val="center"/>
        </w:trPr>
        <w:tc>
          <w:tcPr>
            <w:tcW w:w="3192" w:type="dxa"/>
          </w:tcPr>
          <w:p w14:paraId="1E68EAA9" w14:textId="77777777" w:rsidR="00836DB1" w:rsidRDefault="00836DB1" w:rsidP="00AA1DA0">
            <w:pPr>
              <w:spacing w:line="480" w:lineRule="auto"/>
              <w:jc w:val="center"/>
              <w:rPr>
                <w:sz w:val="24"/>
                <w:szCs w:val="24"/>
              </w:rPr>
            </w:pPr>
            <w:r>
              <w:rPr>
                <w:sz w:val="24"/>
                <w:szCs w:val="24"/>
              </w:rPr>
              <w:t>LAC</w:t>
            </w:r>
          </w:p>
        </w:tc>
        <w:tc>
          <w:tcPr>
            <w:tcW w:w="3192" w:type="dxa"/>
          </w:tcPr>
          <w:p w14:paraId="39FF0F17" w14:textId="77777777" w:rsidR="00836DB1" w:rsidRDefault="00836DB1" w:rsidP="00AA1DA0">
            <w:pPr>
              <w:spacing w:line="480" w:lineRule="auto"/>
              <w:jc w:val="center"/>
              <w:rPr>
                <w:sz w:val="24"/>
                <w:szCs w:val="24"/>
              </w:rPr>
            </w:pPr>
            <w:r>
              <w:rPr>
                <w:sz w:val="24"/>
                <w:szCs w:val="24"/>
              </w:rPr>
              <w:t>Positive</w:t>
            </w:r>
          </w:p>
        </w:tc>
        <w:tc>
          <w:tcPr>
            <w:tcW w:w="3192" w:type="dxa"/>
          </w:tcPr>
          <w:p w14:paraId="08F2B9F4" w14:textId="77777777" w:rsidR="00836DB1" w:rsidRDefault="00836DB1" w:rsidP="00AA1DA0">
            <w:pPr>
              <w:spacing w:line="480" w:lineRule="auto"/>
              <w:jc w:val="center"/>
              <w:rPr>
                <w:sz w:val="24"/>
                <w:szCs w:val="24"/>
              </w:rPr>
            </w:pPr>
            <w:r>
              <w:rPr>
                <w:sz w:val="24"/>
                <w:szCs w:val="24"/>
              </w:rPr>
              <w:t>Lactose Fermentation</w:t>
            </w:r>
          </w:p>
        </w:tc>
      </w:tr>
      <w:tr w:rsidR="00836DB1" w14:paraId="448562D8" w14:textId="77777777" w:rsidTr="00AA1DA0">
        <w:trPr>
          <w:jc w:val="center"/>
        </w:trPr>
        <w:tc>
          <w:tcPr>
            <w:tcW w:w="3192" w:type="dxa"/>
          </w:tcPr>
          <w:p w14:paraId="0CA1A0CA" w14:textId="77777777" w:rsidR="00836DB1" w:rsidRDefault="00836DB1" w:rsidP="00AA1DA0">
            <w:pPr>
              <w:spacing w:line="480" w:lineRule="auto"/>
              <w:jc w:val="center"/>
              <w:rPr>
                <w:sz w:val="24"/>
                <w:szCs w:val="24"/>
              </w:rPr>
            </w:pPr>
            <w:r>
              <w:rPr>
                <w:sz w:val="24"/>
                <w:szCs w:val="24"/>
              </w:rPr>
              <w:t>TRE</w:t>
            </w:r>
          </w:p>
        </w:tc>
        <w:tc>
          <w:tcPr>
            <w:tcW w:w="3192" w:type="dxa"/>
          </w:tcPr>
          <w:p w14:paraId="2FA21962" w14:textId="77777777" w:rsidR="00836DB1" w:rsidRDefault="00836DB1" w:rsidP="00AA1DA0">
            <w:pPr>
              <w:spacing w:line="480" w:lineRule="auto"/>
              <w:jc w:val="center"/>
              <w:rPr>
                <w:sz w:val="24"/>
                <w:szCs w:val="24"/>
              </w:rPr>
            </w:pPr>
            <w:r>
              <w:rPr>
                <w:sz w:val="24"/>
                <w:szCs w:val="24"/>
              </w:rPr>
              <w:t>Positive</w:t>
            </w:r>
          </w:p>
        </w:tc>
        <w:tc>
          <w:tcPr>
            <w:tcW w:w="3192" w:type="dxa"/>
          </w:tcPr>
          <w:p w14:paraId="78B4A0AF" w14:textId="77777777" w:rsidR="00836DB1" w:rsidRDefault="00836DB1" w:rsidP="00AA1DA0">
            <w:pPr>
              <w:spacing w:line="480" w:lineRule="auto"/>
              <w:jc w:val="center"/>
              <w:rPr>
                <w:sz w:val="24"/>
                <w:szCs w:val="24"/>
              </w:rPr>
            </w:pPr>
            <w:r>
              <w:rPr>
                <w:sz w:val="24"/>
                <w:szCs w:val="24"/>
              </w:rPr>
              <w:t>Trehalose Fermentation</w:t>
            </w:r>
          </w:p>
        </w:tc>
      </w:tr>
    </w:tbl>
    <w:p w14:paraId="4C2DC951" w14:textId="77777777" w:rsidR="00836DB1" w:rsidRDefault="00836DB1" w:rsidP="00836DB1">
      <w:pPr>
        <w:spacing w:line="480" w:lineRule="auto"/>
        <w:jc w:val="center"/>
      </w:pPr>
    </w:p>
    <w:p w14:paraId="139101E5" w14:textId="77777777" w:rsidR="00836DB1" w:rsidRPr="00A964C1" w:rsidRDefault="00836DB1" w:rsidP="00836DB1">
      <w:pPr>
        <w:spacing w:line="480" w:lineRule="auto"/>
      </w:pPr>
      <w:r>
        <w:tab/>
        <w:t xml:space="preserve">The fluid thioglycollate test determined that the isolate is a strict anaerobe because it only grew in the oxic zone of the test tube over a 7-day period (Table 1). The oxidase test determined that the isolate has cytochrome </w:t>
      </w:r>
      <w:r w:rsidRPr="00A964C1">
        <w:rPr>
          <w:i/>
        </w:rPr>
        <w:t>c</w:t>
      </w:r>
      <w:r>
        <w:t xml:space="preserve"> oxidase, which distinguishes it as a pseudomonad species (Table 1). The ESC and ADH tests from the API 20 Strep test strip determined that the isolate can use esculin and arginine, respectively, as a carbon source (Table 1). Last, the ARA, MAN, LAC, and TRE test determined what compounds the isolate can ferment (Table 1).</w:t>
      </w:r>
    </w:p>
    <w:p w14:paraId="3D025D06" w14:textId="77777777" w:rsidR="00836DB1" w:rsidRDefault="00836DB1" w:rsidP="00836DB1">
      <w:pPr>
        <w:spacing w:line="480" w:lineRule="auto"/>
        <w:jc w:val="center"/>
      </w:pPr>
      <w:r>
        <w:rPr>
          <w:b/>
        </w:rPr>
        <w:t>Table 2.</w:t>
      </w:r>
      <w:r>
        <w:t xml:space="preserve"> Antibiotics used to assess susceptibility or resistance of isolate.</w:t>
      </w:r>
    </w:p>
    <w:tbl>
      <w:tblPr>
        <w:tblStyle w:val="TableGrid"/>
        <w:tblW w:w="0" w:type="auto"/>
        <w:tblLook w:val="04A0" w:firstRow="1" w:lastRow="0" w:firstColumn="1" w:lastColumn="0" w:noHBand="0" w:noVBand="1"/>
      </w:tblPr>
      <w:tblGrid>
        <w:gridCol w:w="2914"/>
        <w:gridCol w:w="2819"/>
        <w:gridCol w:w="3123"/>
      </w:tblGrid>
      <w:tr w:rsidR="00836DB1" w14:paraId="5C7DAF93" w14:textId="77777777" w:rsidTr="00AA1DA0">
        <w:tc>
          <w:tcPr>
            <w:tcW w:w="3192" w:type="dxa"/>
          </w:tcPr>
          <w:p w14:paraId="1EB776D0" w14:textId="77777777" w:rsidR="00836DB1" w:rsidRDefault="00836DB1" w:rsidP="00AA1DA0">
            <w:pPr>
              <w:spacing w:line="480" w:lineRule="auto"/>
              <w:jc w:val="center"/>
              <w:rPr>
                <w:sz w:val="24"/>
                <w:szCs w:val="24"/>
              </w:rPr>
            </w:pPr>
            <w:r>
              <w:rPr>
                <w:sz w:val="24"/>
                <w:szCs w:val="24"/>
              </w:rPr>
              <w:t>Antibiotic</w:t>
            </w:r>
          </w:p>
        </w:tc>
        <w:tc>
          <w:tcPr>
            <w:tcW w:w="3192" w:type="dxa"/>
          </w:tcPr>
          <w:p w14:paraId="7F55D5E9" w14:textId="77777777" w:rsidR="00836DB1" w:rsidRDefault="00836DB1" w:rsidP="00AA1DA0">
            <w:pPr>
              <w:spacing w:line="480" w:lineRule="auto"/>
              <w:jc w:val="center"/>
              <w:rPr>
                <w:sz w:val="24"/>
                <w:szCs w:val="24"/>
              </w:rPr>
            </w:pPr>
            <w:r>
              <w:rPr>
                <w:sz w:val="24"/>
                <w:szCs w:val="24"/>
              </w:rPr>
              <w:t>Zone Diameter Length (mm)</w:t>
            </w:r>
          </w:p>
        </w:tc>
        <w:tc>
          <w:tcPr>
            <w:tcW w:w="3192" w:type="dxa"/>
          </w:tcPr>
          <w:p w14:paraId="1AFC4F5F" w14:textId="77777777" w:rsidR="00836DB1" w:rsidRDefault="00836DB1" w:rsidP="00AA1DA0">
            <w:pPr>
              <w:spacing w:line="480" w:lineRule="auto"/>
              <w:jc w:val="center"/>
              <w:rPr>
                <w:sz w:val="24"/>
                <w:szCs w:val="24"/>
              </w:rPr>
            </w:pPr>
            <w:r>
              <w:rPr>
                <w:sz w:val="24"/>
                <w:szCs w:val="24"/>
              </w:rPr>
              <w:t>Resistance/Susceptibility</w:t>
            </w:r>
          </w:p>
        </w:tc>
      </w:tr>
      <w:tr w:rsidR="00836DB1" w14:paraId="1F27803E" w14:textId="77777777" w:rsidTr="00AA1DA0">
        <w:tc>
          <w:tcPr>
            <w:tcW w:w="3192" w:type="dxa"/>
          </w:tcPr>
          <w:p w14:paraId="5CC57FDB" w14:textId="77777777" w:rsidR="00836DB1" w:rsidRDefault="00836DB1" w:rsidP="00AA1DA0">
            <w:pPr>
              <w:spacing w:line="480" w:lineRule="auto"/>
              <w:jc w:val="center"/>
              <w:rPr>
                <w:sz w:val="24"/>
                <w:szCs w:val="24"/>
              </w:rPr>
            </w:pPr>
            <w:r>
              <w:rPr>
                <w:sz w:val="24"/>
                <w:szCs w:val="24"/>
              </w:rPr>
              <w:t>Erythromycin</w:t>
            </w:r>
          </w:p>
        </w:tc>
        <w:tc>
          <w:tcPr>
            <w:tcW w:w="3192" w:type="dxa"/>
          </w:tcPr>
          <w:p w14:paraId="1FC6CC27" w14:textId="77777777" w:rsidR="00836DB1" w:rsidRDefault="00836DB1" w:rsidP="00AA1DA0">
            <w:pPr>
              <w:spacing w:line="480" w:lineRule="auto"/>
              <w:jc w:val="center"/>
              <w:rPr>
                <w:sz w:val="24"/>
                <w:szCs w:val="24"/>
              </w:rPr>
            </w:pPr>
            <w:r>
              <w:rPr>
                <w:sz w:val="24"/>
                <w:szCs w:val="24"/>
              </w:rPr>
              <w:t>28 mm</w:t>
            </w:r>
          </w:p>
        </w:tc>
        <w:tc>
          <w:tcPr>
            <w:tcW w:w="3192" w:type="dxa"/>
          </w:tcPr>
          <w:p w14:paraId="2892B49C" w14:textId="77777777" w:rsidR="00836DB1" w:rsidRDefault="00836DB1" w:rsidP="00AA1DA0">
            <w:pPr>
              <w:spacing w:line="480" w:lineRule="auto"/>
              <w:jc w:val="center"/>
              <w:rPr>
                <w:sz w:val="24"/>
                <w:szCs w:val="24"/>
              </w:rPr>
            </w:pPr>
            <w:r>
              <w:rPr>
                <w:sz w:val="24"/>
                <w:szCs w:val="24"/>
              </w:rPr>
              <w:t>Susceptible</w:t>
            </w:r>
          </w:p>
        </w:tc>
      </w:tr>
      <w:tr w:rsidR="00836DB1" w14:paraId="647F8B92" w14:textId="77777777" w:rsidTr="00AA1DA0">
        <w:tc>
          <w:tcPr>
            <w:tcW w:w="3192" w:type="dxa"/>
          </w:tcPr>
          <w:p w14:paraId="496F8D82" w14:textId="77777777" w:rsidR="00836DB1" w:rsidRDefault="00836DB1" w:rsidP="00AA1DA0">
            <w:pPr>
              <w:spacing w:line="480" w:lineRule="auto"/>
              <w:jc w:val="center"/>
              <w:rPr>
                <w:sz w:val="24"/>
                <w:szCs w:val="24"/>
              </w:rPr>
            </w:pPr>
            <w:r>
              <w:rPr>
                <w:sz w:val="24"/>
                <w:szCs w:val="24"/>
              </w:rPr>
              <w:t>Gentamicin</w:t>
            </w:r>
          </w:p>
        </w:tc>
        <w:tc>
          <w:tcPr>
            <w:tcW w:w="3192" w:type="dxa"/>
          </w:tcPr>
          <w:p w14:paraId="57949CE6" w14:textId="77777777" w:rsidR="00836DB1" w:rsidRDefault="00836DB1" w:rsidP="00AA1DA0">
            <w:pPr>
              <w:spacing w:line="480" w:lineRule="auto"/>
              <w:jc w:val="center"/>
              <w:rPr>
                <w:sz w:val="24"/>
                <w:szCs w:val="24"/>
              </w:rPr>
            </w:pPr>
            <w:r>
              <w:rPr>
                <w:sz w:val="24"/>
                <w:szCs w:val="24"/>
              </w:rPr>
              <w:t>32 mm</w:t>
            </w:r>
          </w:p>
        </w:tc>
        <w:tc>
          <w:tcPr>
            <w:tcW w:w="3192" w:type="dxa"/>
          </w:tcPr>
          <w:p w14:paraId="7B541A3D" w14:textId="77777777" w:rsidR="00836DB1" w:rsidRDefault="00836DB1" w:rsidP="00AA1DA0">
            <w:pPr>
              <w:spacing w:line="480" w:lineRule="auto"/>
              <w:jc w:val="center"/>
              <w:rPr>
                <w:sz w:val="24"/>
                <w:szCs w:val="24"/>
              </w:rPr>
            </w:pPr>
            <w:r>
              <w:rPr>
                <w:sz w:val="24"/>
                <w:szCs w:val="24"/>
              </w:rPr>
              <w:t>Susceptible</w:t>
            </w:r>
          </w:p>
        </w:tc>
      </w:tr>
      <w:tr w:rsidR="00836DB1" w14:paraId="7CF0A6B0" w14:textId="77777777" w:rsidTr="00AA1DA0">
        <w:tc>
          <w:tcPr>
            <w:tcW w:w="3192" w:type="dxa"/>
          </w:tcPr>
          <w:p w14:paraId="0C1A5229" w14:textId="77777777" w:rsidR="00836DB1" w:rsidRDefault="00836DB1" w:rsidP="00AA1DA0">
            <w:pPr>
              <w:spacing w:line="480" w:lineRule="auto"/>
              <w:jc w:val="center"/>
              <w:rPr>
                <w:sz w:val="24"/>
                <w:szCs w:val="24"/>
              </w:rPr>
            </w:pPr>
            <w:r>
              <w:rPr>
                <w:sz w:val="24"/>
                <w:szCs w:val="24"/>
              </w:rPr>
              <w:t>Clindamycin</w:t>
            </w:r>
          </w:p>
        </w:tc>
        <w:tc>
          <w:tcPr>
            <w:tcW w:w="3192" w:type="dxa"/>
          </w:tcPr>
          <w:p w14:paraId="68CE9482" w14:textId="77777777" w:rsidR="00836DB1" w:rsidRDefault="00836DB1" w:rsidP="00AA1DA0">
            <w:pPr>
              <w:spacing w:line="480" w:lineRule="auto"/>
              <w:jc w:val="center"/>
              <w:rPr>
                <w:sz w:val="24"/>
                <w:szCs w:val="24"/>
              </w:rPr>
            </w:pPr>
            <w:r>
              <w:rPr>
                <w:sz w:val="24"/>
                <w:szCs w:val="24"/>
              </w:rPr>
              <w:t>25 mm</w:t>
            </w:r>
          </w:p>
        </w:tc>
        <w:tc>
          <w:tcPr>
            <w:tcW w:w="3192" w:type="dxa"/>
          </w:tcPr>
          <w:p w14:paraId="5824201C" w14:textId="77777777" w:rsidR="00836DB1" w:rsidRDefault="00836DB1" w:rsidP="00AA1DA0">
            <w:pPr>
              <w:spacing w:line="480" w:lineRule="auto"/>
              <w:jc w:val="center"/>
              <w:rPr>
                <w:sz w:val="24"/>
                <w:szCs w:val="24"/>
              </w:rPr>
            </w:pPr>
            <w:r>
              <w:rPr>
                <w:sz w:val="24"/>
                <w:szCs w:val="24"/>
              </w:rPr>
              <w:t>Susceptible</w:t>
            </w:r>
          </w:p>
        </w:tc>
      </w:tr>
      <w:tr w:rsidR="00836DB1" w14:paraId="5790A0FD" w14:textId="77777777" w:rsidTr="00AA1DA0">
        <w:tc>
          <w:tcPr>
            <w:tcW w:w="3192" w:type="dxa"/>
          </w:tcPr>
          <w:p w14:paraId="3737A9F2" w14:textId="77777777" w:rsidR="00836DB1" w:rsidRDefault="00836DB1" w:rsidP="00AA1DA0">
            <w:pPr>
              <w:spacing w:line="480" w:lineRule="auto"/>
              <w:jc w:val="center"/>
              <w:rPr>
                <w:sz w:val="24"/>
                <w:szCs w:val="24"/>
              </w:rPr>
            </w:pPr>
            <w:r>
              <w:rPr>
                <w:sz w:val="24"/>
                <w:szCs w:val="24"/>
              </w:rPr>
              <w:t>Piperacillin</w:t>
            </w:r>
          </w:p>
        </w:tc>
        <w:tc>
          <w:tcPr>
            <w:tcW w:w="3192" w:type="dxa"/>
          </w:tcPr>
          <w:p w14:paraId="6D7F7411" w14:textId="77777777" w:rsidR="00836DB1" w:rsidRDefault="00836DB1" w:rsidP="00AA1DA0">
            <w:pPr>
              <w:spacing w:line="480" w:lineRule="auto"/>
              <w:jc w:val="center"/>
              <w:rPr>
                <w:sz w:val="24"/>
                <w:szCs w:val="24"/>
              </w:rPr>
            </w:pPr>
            <w:r>
              <w:rPr>
                <w:sz w:val="24"/>
                <w:szCs w:val="24"/>
              </w:rPr>
              <w:t>39 mm</w:t>
            </w:r>
          </w:p>
        </w:tc>
        <w:tc>
          <w:tcPr>
            <w:tcW w:w="3192" w:type="dxa"/>
          </w:tcPr>
          <w:p w14:paraId="4D949122" w14:textId="77777777" w:rsidR="00836DB1" w:rsidRDefault="00836DB1" w:rsidP="00AA1DA0">
            <w:pPr>
              <w:spacing w:line="480" w:lineRule="auto"/>
              <w:jc w:val="center"/>
              <w:rPr>
                <w:sz w:val="24"/>
                <w:szCs w:val="24"/>
              </w:rPr>
            </w:pPr>
            <w:r>
              <w:rPr>
                <w:sz w:val="24"/>
                <w:szCs w:val="24"/>
              </w:rPr>
              <w:t>Susceptible</w:t>
            </w:r>
          </w:p>
        </w:tc>
      </w:tr>
      <w:tr w:rsidR="00836DB1" w14:paraId="03272D90" w14:textId="77777777" w:rsidTr="00AA1DA0">
        <w:tc>
          <w:tcPr>
            <w:tcW w:w="3192" w:type="dxa"/>
          </w:tcPr>
          <w:p w14:paraId="627CE95E" w14:textId="77777777" w:rsidR="00836DB1" w:rsidRDefault="00836DB1" w:rsidP="00AA1DA0">
            <w:pPr>
              <w:spacing w:line="480" w:lineRule="auto"/>
              <w:jc w:val="center"/>
              <w:rPr>
                <w:sz w:val="24"/>
                <w:szCs w:val="24"/>
              </w:rPr>
            </w:pPr>
            <w:r>
              <w:rPr>
                <w:sz w:val="24"/>
                <w:szCs w:val="24"/>
              </w:rPr>
              <w:t>Tetracyclin</w:t>
            </w:r>
          </w:p>
        </w:tc>
        <w:tc>
          <w:tcPr>
            <w:tcW w:w="3192" w:type="dxa"/>
          </w:tcPr>
          <w:p w14:paraId="6D11A4B8" w14:textId="77777777" w:rsidR="00836DB1" w:rsidRDefault="00836DB1" w:rsidP="00AA1DA0">
            <w:pPr>
              <w:spacing w:line="480" w:lineRule="auto"/>
              <w:jc w:val="center"/>
              <w:rPr>
                <w:sz w:val="24"/>
                <w:szCs w:val="24"/>
              </w:rPr>
            </w:pPr>
            <w:r>
              <w:rPr>
                <w:sz w:val="24"/>
                <w:szCs w:val="24"/>
              </w:rPr>
              <w:t>34 mm</w:t>
            </w:r>
          </w:p>
        </w:tc>
        <w:tc>
          <w:tcPr>
            <w:tcW w:w="3192" w:type="dxa"/>
          </w:tcPr>
          <w:p w14:paraId="58E9246C" w14:textId="77777777" w:rsidR="00836DB1" w:rsidRDefault="00836DB1" w:rsidP="00AA1DA0">
            <w:pPr>
              <w:spacing w:line="480" w:lineRule="auto"/>
              <w:jc w:val="center"/>
              <w:rPr>
                <w:sz w:val="24"/>
                <w:szCs w:val="24"/>
              </w:rPr>
            </w:pPr>
            <w:r>
              <w:rPr>
                <w:sz w:val="24"/>
                <w:szCs w:val="24"/>
              </w:rPr>
              <w:t>Susceptible</w:t>
            </w:r>
          </w:p>
        </w:tc>
      </w:tr>
      <w:tr w:rsidR="00836DB1" w14:paraId="19813DB0" w14:textId="77777777" w:rsidTr="00AA1DA0">
        <w:tc>
          <w:tcPr>
            <w:tcW w:w="3192" w:type="dxa"/>
          </w:tcPr>
          <w:p w14:paraId="110B9720" w14:textId="77777777" w:rsidR="00836DB1" w:rsidRDefault="00836DB1" w:rsidP="00AA1DA0">
            <w:pPr>
              <w:spacing w:line="480" w:lineRule="auto"/>
              <w:jc w:val="center"/>
              <w:rPr>
                <w:sz w:val="24"/>
                <w:szCs w:val="24"/>
              </w:rPr>
            </w:pPr>
            <w:r>
              <w:rPr>
                <w:sz w:val="24"/>
                <w:szCs w:val="24"/>
              </w:rPr>
              <w:t>Cefazolin</w:t>
            </w:r>
          </w:p>
        </w:tc>
        <w:tc>
          <w:tcPr>
            <w:tcW w:w="3192" w:type="dxa"/>
          </w:tcPr>
          <w:p w14:paraId="04B167BE" w14:textId="77777777" w:rsidR="00836DB1" w:rsidRDefault="00836DB1" w:rsidP="00AA1DA0">
            <w:pPr>
              <w:spacing w:line="480" w:lineRule="auto"/>
              <w:jc w:val="center"/>
              <w:rPr>
                <w:sz w:val="24"/>
                <w:szCs w:val="24"/>
              </w:rPr>
            </w:pPr>
            <w:r>
              <w:rPr>
                <w:sz w:val="24"/>
                <w:szCs w:val="24"/>
              </w:rPr>
              <w:t>32 mm</w:t>
            </w:r>
          </w:p>
        </w:tc>
        <w:tc>
          <w:tcPr>
            <w:tcW w:w="3192" w:type="dxa"/>
          </w:tcPr>
          <w:p w14:paraId="24E5A896" w14:textId="77777777" w:rsidR="00836DB1" w:rsidRDefault="00836DB1" w:rsidP="00AA1DA0">
            <w:pPr>
              <w:spacing w:line="480" w:lineRule="auto"/>
              <w:jc w:val="center"/>
              <w:rPr>
                <w:sz w:val="24"/>
                <w:szCs w:val="24"/>
              </w:rPr>
            </w:pPr>
            <w:r>
              <w:rPr>
                <w:sz w:val="24"/>
                <w:szCs w:val="24"/>
              </w:rPr>
              <w:t>Susceptible</w:t>
            </w:r>
          </w:p>
        </w:tc>
      </w:tr>
      <w:tr w:rsidR="00836DB1" w14:paraId="153ECD2D" w14:textId="77777777" w:rsidTr="00AA1DA0">
        <w:tc>
          <w:tcPr>
            <w:tcW w:w="3192" w:type="dxa"/>
          </w:tcPr>
          <w:p w14:paraId="0E284F73" w14:textId="77777777" w:rsidR="00836DB1" w:rsidRDefault="00836DB1" w:rsidP="00AA1DA0">
            <w:pPr>
              <w:spacing w:line="480" w:lineRule="auto"/>
              <w:jc w:val="center"/>
              <w:rPr>
                <w:sz w:val="24"/>
                <w:szCs w:val="24"/>
              </w:rPr>
            </w:pPr>
            <w:r>
              <w:rPr>
                <w:sz w:val="24"/>
                <w:szCs w:val="24"/>
              </w:rPr>
              <w:t>Oxacillin</w:t>
            </w:r>
          </w:p>
        </w:tc>
        <w:tc>
          <w:tcPr>
            <w:tcW w:w="3192" w:type="dxa"/>
          </w:tcPr>
          <w:p w14:paraId="3B7C9F55" w14:textId="77777777" w:rsidR="00836DB1" w:rsidRDefault="00836DB1" w:rsidP="00AA1DA0">
            <w:pPr>
              <w:spacing w:line="480" w:lineRule="auto"/>
              <w:jc w:val="center"/>
              <w:rPr>
                <w:sz w:val="24"/>
                <w:szCs w:val="24"/>
              </w:rPr>
            </w:pPr>
            <w:r>
              <w:rPr>
                <w:sz w:val="24"/>
                <w:szCs w:val="24"/>
              </w:rPr>
              <w:t>20 mm</w:t>
            </w:r>
          </w:p>
        </w:tc>
        <w:tc>
          <w:tcPr>
            <w:tcW w:w="3192" w:type="dxa"/>
          </w:tcPr>
          <w:p w14:paraId="36F94E54" w14:textId="77777777" w:rsidR="00836DB1" w:rsidRDefault="00836DB1" w:rsidP="00AA1DA0">
            <w:pPr>
              <w:spacing w:line="480" w:lineRule="auto"/>
              <w:jc w:val="center"/>
              <w:rPr>
                <w:sz w:val="24"/>
                <w:szCs w:val="24"/>
              </w:rPr>
            </w:pPr>
            <w:r>
              <w:rPr>
                <w:sz w:val="24"/>
                <w:szCs w:val="24"/>
              </w:rPr>
              <w:t>Susceptible</w:t>
            </w:r>
          </w:p>
        </w:tc>
      </w:tr>
      <w:tr w:rsidR="00836DB1" w14:paraId="166F6A92" w14:textId="77777777" w:rsidTr="00AA1DA0">
        <w:tc>
          <w:tcPr>
            <w:tcW w:w="3192" w:type="dxa"/>
          </w:tcPr>
          <w:p w14:paraId="2551F6F7" w14:textId="77777777" w:rsidR="00836DB1" w:rsidRDefault="00836DB1" w:rsidP="00AA1DA0">
            <w:pPr>
              <w:spacing w:line="480" w:lineRule="auto"/>
              <w:jc w:val="center"/>
              <w:rPr>
                <w:sz w:val="24"/>
                <w:szCs w:val="24"/>
              </w:rPr>
            </w:pPr>
            <w:r>
              <w:rPr>
                <w:sz w:val="24"/>
                <w:szCs w:val="24"/>
              </w:rPr>
              <w:t>Trimethoprim</w:t>
            </w:r>
          </w:p>
        </w:tc>
        <w:tc>
          <w:tcPr>
            <w:tcW w:w="3192" w:type="dxa"/>
          </w:tcPr>
          <w:p w14:paraId="547C1D5F" w14:textId="77777777" w:rsidR="00836DB1" w:rsidRDefault="00836DB1" w:rsidP="00AA1DA0">
            <w:pPr>
              <w:spacing w:line="480" w:lineRule="auto"/>
              <w:jc w:val="center"/>
              <w:rPr>
                <w:sz w:val="24"/>
                <w:szCs w:val="24"/>
              </w:rPr>
            </w:pPr>
            <w:r>
              <w:rPr>
                <w:sz w:val="24"/>
                <w:szCs w:val="24"/>
              </w:rPr>
              <w:t>24 mm</w:t>
            </w:r>
          </w:p>
        </w:tc>
        <w:tc>
          <w:tcPr>
            <w:tcW w:w="3192" w:type="dxa"/>
          </w:tcPr>
          <w:p w14:paraId="387FB5D4" w14:textId="77777777" w:rsidR="00836DB1" w:rsidRDefault="00836DB1" w:rsidP="00AA1DA0">
            <w:pPr>
              <w:spacing w:line="480" w:lineRule="auto"/>
              <w:jc w:val="center"/>
              <w:rPr>
                <w:sz w:val="24"/>
                <w:szCs w:val="24"/>
              </w:rPr>
            </w:pPr>
            <w:r>
              <w:rPr>
                <w:sz w:val="24"/>
                <w:szCs w:val="24"/>
              </w:rPr>
              <w:t>Susceptible</w:t>
            </w:r>
          </w:p>
        </w:tc>
      </w:tr>
    </w:tbl>
    <w:p w14:paraId="4B5833BD" w14:textId="77777777" w:rsidR="00836DB1" w:rsidRDefault="00836DB1" w:rsidP="00836DB1">
      <w:pPr>
        <w:spacing w:line="480" w:lineRule="auto"/>
        <w:jc w:val="center"/>
      </w:pPr>
    </w:p>
    <w:bookmarkEnd w:id="2"/>
    <w:bookmarkEnd w:id="3"/>
    <w:p w14:paraId="24F1395E" w14:textId="7DE9375F" w:rsidR="004A5CA7" w:rsidRPr="00836DB1" w:rsidRDefault="00836DB1" w:rsidP="004A5CA7">
      <w:pPr>
        <w:spacing w:line="480" w:lineRule="auto"/>
      </w:pPr>
      <w:r>
        <w:tab/>
        <w:t xml:space="preserve">The disk diffusion test identified the antibiotic susceptibility and resistance capabilities of the isolate.  The results of this test were that the isolate was susceptible to all eight of the antibiotics that were tested (Table 2). </w:t>
      </w:r>
    </w:p>
    <w:p w14:paraId="19BC7D48" w14:textId="2A73E156" w:rsidR="004A5CA7" w:rsidRDefault="004A5CA7" w:rsidP="004A5CA7">
      <w:pPr>
        <w:spacing w:line="480" w:lineRule="auto"/>
        <w:jc w:val="center"/>
        <w:rPr>
          <w:rFonts w:cs="Arial"/>
          <w:b/>
          <w:iCs/>
          <w:color w:val="232323"/>
        </w:rPr>
      </w:pPr>
      <w:bookmarkStart w:id="4" w:name="OLE_LINK5"/>
      <w:bookmarkStart w:id="5" w:name="OLE_LINK6"/>
      <w:r>
        <w:rPr>
          <w:rFonts w:cs="Arial"/>
          <w:b/>
          <w:iCs/>
          <w:color w:val="232323"/>
        </w:rPr>
        <w:t>Discussion</w:t>
      </w:r>
    </w:p>
    <w:p w14:paraId="1A041A5B" w14:textId="1E3986B1" w:rsidR="004A5CA7" w:rsidRDefault="004A5CA7" w:rsidP="004A5CA7">
      <w:pPr>
        <w:spacing w:line="480" w:lineRule="auto"/>
        <w:rPr>
          <w:rFonts w:cs="Arial"/>
          <w:iCs/>
          <w:color w:val="232323"/>
        </w:rPr>
      </w:pPr>
      <w:r>
        <w:rPr>
          <w:rFonts w:cs="Arial"/>
          <w:iCs/>
          <w:color w:val="232323"/>
        </w:rPr>
        <w:tab/>
      </w:r>
      <w:r w:rsidR="00206426">
        <w:rPr>
          <w:rFonts w:cs="Arial"/>
          <w:iCs/>
          <w:color w:val="232323"/>
        </w:rPr>
        <w:t xml:space="preserve">My hypothesis that a </w:t>
      </w:r>
      <w:r w:rsidR="00206426">
        <w:rPr>
          <w:rFonts w:cs="Arial"/>
          <w:i/>
          <w:iCs/>
          <w:color w:val="232323"/>
        </w:rPr>
        <w:t>Staphylococcus</w:t>
      </w:r>
      <w:r w:rsidR="00206426">
        <w:rPr>
          <w:rFonts w:cs="Arial"/>
          <w:iCs/>
          <w:color w:val="232323"/>
        </w:rPr>
        <w:t xml:space="preserve"> species would be isolated from the hockey glove was not supported. Instead, the </w:t>
      </w:r>
      <w:r w:rsidR="00767AAE">
        <w:rPr>
          <w:rFonts w:cs="Arial"/>
          <w:iCs/>
          <w:color w:val="232323"/>
        </w:rPr>
        <w:t>microbe that was</w:t>
      </w:r>
      <w:r w:rsidR="00206426">
        <w:rPr>
          <w:rFonts w:cs="Arial"/>
          <w:iCs/>
          <w:color w:val="232323"/>
        </w:rPr>
        <w:t xml:space="preserve"> isolated </w:t>
      </w:r>
      <w:r w:rsidR="00767AAE">
        <w:rPr>
          <w:rFonts w:cs="Arial"/>
          <w:iCs/>
          <w:color w:val="232323"/>
        </w:rPr>
        <w:t xml:space="preserve">is </w:t>
      </w:r>
      <w:r w:rsidR="00206426">
        <w:rPr>
          <w:rFonts w:cs="Arial"/>
          <w:i/>
          <w:iCs/>
          <w:color w:val="232323"/>
        </w:rPr>
        <w:t>Bacillus cereus</w:t>
      </w:r>
      <w:r w:rsidR="00206426">
        <w:rPr>
          <w:rFonts w:cs="Arial"/>
          <w:iCs/>
          <w:color w:val="232323"/>
        </w:rPr>
        <w:t xml:space="preserve"> wit</w:t>
      </w:r>
      <w:r w:rsidR="00E90DCD">
        <w:rPr>
          <w:rFonts w:cs="Arial"/>
          <w:iCs/>
          <w:color w:val="232323"/>
        </w:rPr>
        <w:t>h a 93.39</w:t>
      </w:r>
      <w:r w:rsidR="004D7AB6">
        <w:rPr>
          <w:rFonts w:cs="Arial"/>
          <w:iCs/>
          <w:color w:val="232323"/>
        </w:rPr>
        <w:t>% confidence level (Fig. 2</w:t>
      </w:r>
      <w:r w:rsidR="00206426">
        <w:rPr>
          <w:rFonts w:cs="Arial"/>
          <w:iCs/>
          <w:color w:val="232323"/>
        </w:rPr>
        <w:t xml:space="preserve">). </w:t>
      </w:r>
      <w:r w:rsidR="00206426">
        <w:rPr>
          <w:rFonts w:cs="Arial"/>
          <w:i/>
          <w:iCs/>
          <w:color w:val="232323"/>
        </w:rPr>
        <w:t>B. cereus</w:t>
      </w:r>
      <w:r w:rsidR="00767AAE">
        <w:rPr>
          <w:rFonts w:cs="Arial"/>
          <w:iCs/>
          <w:color w:val="232323"/>
        </w:rPr>
        <w:t xml:space="preserve"> is a G</w:t>
      </w:r>
      <w:r w:rsidR="00206426">
        <w:rPr>
          <w:rFonts w:cs="Arial"/>
          <w:iCs/>
          <w:color w:val="232323"/>
        </w:rPr>
        <w:t xml:space="preserve">ram-positive aerobe that is a </w:t>
      </w:r>
      <w:r w:rsidR="00781DA2">
        <w:rPr>
          <w:rFonts w:cs="Arial"/>
          <w:iCs/>
          <w:color w:val="232323"/>
        </w:rPr>
        <w:t>spore-forming rod (Drobniewski 1993</w:t>
      </w:r>
      <w:r w:rsidR="00206426">
        <w:rPr>
          <w:rFonts w:cs="Arial"/>
          <w:iCs/>
          <w:color w:val="232323"/>
        </w:rPr>
        <w:t>). This is consistent with the experiment results for the f</w:t>
      </w:r>
      <w:r w:rsidR="00767AAE">
        <w:rPr>
          <w:rFonts w:cs="Arial"/>
          <w:iCs/>
          <w:color w:val="232323"/>
        </w:rPr>
        <w:t>luid thioglycollate test, G</w:t>
      </w:r>
      <w:r w:rsidR="00206426">
        <w:rPr>
          <w:rFonts w:cs="Arial"/>
          <w:iCs/>
          <w:color w:val="232323"/>
        </w:rPr>
        <w:t>ram stain</w:t>
      </w:r>
      <w:r w:rsidR="00767AAE">
        <w:rPr>
          <w:rFonts w:cs="Arial"/>
          <w:iCs/>
          <w:color w:val="232323"/>
        </w:rPr>
        <w:t>, and morphology</w:t>
      </w:r>
      <w:r w:rsidR="00206426">
        <w:rPr>
          <w:rFonts w:cs="Arial"/>
          <w:iCs/>
          <w:color w:val="232323"/>
        </w:rPr>
        <w:t xml:space="preserve"> (Table 1). </w:t>
      </w:r>
      <w:r w:rsidR="00E91F62">
        <w:rPr>
          <w:rFonts w:cs="Arial"/>
          <w:iCs/>
          <w:color w:val="232323"/>
        </w:rPr>
        <w:t>The colony appearance of smooth, circular, and moist colonies that are cream in color</w:t>
      </w:r>
      <w:r w:rsidR="00C728F9">
        <w:rPr>
          <w:rFonts w:cs="Arial"/>
          <w:iCs/>
          <w:color w:val="232323"/>
        </w:rPr>
        <w:t>,</w:t>
      </w:r>
      <w:r w:rsidR="00E91F62">
        <w:rPr>
          <w:rFonts w:cs="Arial"/>
          <w:iCs/>
          <w:color w:val="232323"/>
        </w:rPr>
        <w:t xml:space="preserve"> as seen in figure 1</w:t>
      </w:r>
      <w:r w:rsidR="00C728F9">
        <w:rPr>
          <w:rFonts w:cs="Arial"/>
          <w:iCs/>
          <w:color w:val="232323"/>
        </w:rPr>
        <w:t>,</w:t>
      </w:r>
      <w:r w:rsidR="00E91F62">
        <w:rPr>
          <w:rFonts w:cs="Arial"/>
          <w:iCs/>
          <w:color w:val="232323"/>
        </w:rPr>
        <w:t xml:space="preserve"> is also consistent with the literature description of </w:t>
      </w:r>
      <w:r w:rsidR="00E91F62">
        <w:rPr>
          <w:rFonts w:cs="Arial"/>
          <w:i/>
          <w:iCs/>
          <w:color w:val="232323"/>
        </w:rPr>
        <w:t xml:space="preserve">B. cereus </w:t>
      </w:r>
      <w:r w:rsidR="00E91F62">
        <w:rPr>
          <w:rFonts w:cs="Arial"/>
          <w:iCs/>
          <w:color w:val="232323"/>
        </w:rPr>
        <w:t xml:space="preserve">(Vos 2011). </w:t>
      </w:r>
      <w:r w:rsidR="00206426">
        <w:rPr>
          <w:rFonts w:cs="Arial"/>
          <w:iCs/>
          <w:color w:val="232323"/>
        </w:rPr>
        <w:t xml:space="preserve">According to the results, </w:t>
      </w:r>
      <w:r w:rsidR="00206426">
        <w:rPr>
          <w:rFonts w:cs="Arial"/>
          <w:i/>
          <w:iCs/>
          <w:color w:val="232323"/>
        </w:rPr>
        <w:t xml:space="preserve">B. cereus </w:t>
      </w:r>
      <w:r w:rsidR="00206426">
        <w:rPr>
          <w:rFonts w:cs="Arial"/>
          <w:iCs/>
          <w:color w:val="232323"/>
        </w:rPr>
        <w:t>can ferment arabinose, mannitol, lactose, and trehalose (Table 1). This means that the microbe can use those compounds as a carbon source for fermentation. The results also indicate that the isolate can us esculin and arginine as a carbon source and an energy source, as well as pro</w:t>
      </w:r>
      <w:r w:rsidR="00223E49">
        <w:rPr>
          <w:rFonts w:cs="Arial"/>
          <w:iCs/>
          <w:color w:val="232323"/>
        </w:rPr>
        <w:t>duce acetoin (Table 1). The results from the study</w:t>
      </w:r>
      <w:r w:rsidR="00206426">
        <w:rPr>
          <w:rFonts w:cs="Arial"/>
          <w:iCs/>
          <w:color w:val="232323"/>
        </w:rPr>
        <w:t xml:space="preserve"> that is consistent with</w:t>
      </w:r>
      <w:r w:rsidR="00767AAE">
        <w:rPr>
          <w:rFonts w:cs="Arial"/>
          <w:iCs/>
          <w:color w:val="232323"/>
        </w:rPr>
        <w:t xml:space="preserve"> the literature on</w:t>
      </w:r>
      <w:r w:rsidR="00206426">
        <w:rPr>
          <w:rFonts w:cs="Arial"/>
          <w:iCs/>
          <w:color w:val="232323"/>
        </w:rPr>
        <w:t xml:space="preserve"> </w:t>
      </w:r>
      <w:r w:rsidR="00206426">
        <w:rPr>
          <w:rFonts w:cs="Arial"/>
          <w:i/>
          <w:iCs/>
          <w:color w:val="232323"/>
        </w:rPr>
        <w:t>B. cereus</w:t>
      </w:r>
      <w:r w:rsidR="00206426">
        <w:rPr>
          <w:rFonts w:cs="Arial"/>
          <w:iCs/>
          <w:color w:val="232323"/>
        </w:rPr>
        <w:t xml:space="preserve"> is the</w:t>
      </w:r>
      <w:r w:rsidR="00223E49">
        <w:rPr>
          <w:rFonts w:cs="Arial"/>
          <w:iCs/>
          <w:color w:val="232323"/>
        </w:rPr>
        <w:t xml:space="preserve"> acetoin production, esculin hydrolysis, arginine dihydrolase, and trehalose fermentation (Vos 2011)</w:t>
      </w:r>
      <w:r w:rsidR="00206426">
        <w:rPr>
          <w:rFonts w:cs="Arial"/>
          <w:iCs/>
          <w:color w:val="232323"/>
        </w:rPr>
        <w:t xml:space="preserve">. The oxidase </w:t>
      </w:r>
      <w:r w:rsidR="00223E49">
        <w:rPr>
          <w:rFonts w:cs="Arial"/>
          <w:iCs/>
          <w:color w:val="232323"/>
        </w:rPr>
        <w:t>test result was</w:t>
      </w:r>
      <w:r w:rsidR="00206426">
        <w:rPr>
          <w:rFonts w:cs="Arial"/>
          <w:iCs/>
          <w:color w:val="232323"/>
        </w:rPr>
        <w:t xml:space="preserve"> not consistent with a </w:t>
      </w:r>
      <w:r w:rsidR="00206426">
        <w:rPr>
          <w:rFonts w:cs="Arial"/>
          <w:i/>
          <w:iCs/>
          <w:color w:val="232323"/>
        </w:rPr>
        <w:t>B. cereus</w:t>
      </w:r>
      <w:r w:rsidR="00206426">
        <w:rPr>
          <w:rFonts w:cs="Arial"/>
          <w:iCs/>
          <w:color w:val="232323"/>
        </w:rPr>
        <w:t xml:space="preserve"> colony that was isolate</w:t>
      </w:r>
      <w:r w:rsidR="00767AAE">
        <w:rPr>
          <w:rFonts w:cs="Arial"/>
          <w:iCs/>
          <w:color w:val="232323"/>
        </w:rPr>
        <w:t>d</w:t>
      </w:r>
      <w:r w:rsidR="00206426">
        <w:rPr>
          <w:rFonts w:cs="Arial"/>
          <w:iCs/>
          <w:color w:val="232323"/>
        </w:rPr>
        <w:t xml:space="preserve"> in a different </w:t>
      </w:r>
      <w:r w:rsidR="00767AAE">
        <w:rPr>
          <w:rFonts w:cs="Arial"/>
          <w:iCs/>
          <w:color w:val="232323"/>
        </w:rPr>
        <w:t>study</w:t>
      </w:r>
      <w:r w:rsidR="00206426">
        <w:rPr>
          <w:rFonts w:cs="Arial"/>
          <w:iCs/>
          <w:color w:val="232323"/>
        </w:rPr>
        <w:t>, the oxidase result for that experiment was neg</w:t>
      </w:r>
      <w:r w:rsidR="00767AAE">
        <w:rPr>
          <w:rFonts w:cs="Arial"/>
          <w:iCs/>
          <w:color w:val="232323"/>
        </w:rPr>
        <w:t xml:space="preserve">ative (Valero 2002). </w:t>
      </w:r>
      <w:r w:rsidR="00223E49">
        <w:rPr>
          <w:rFonts w:cs="Arial"/>
          <w:iCs/>
          <w:color w:val="232323"/>
        </w:rPr>
        <w:t xml:space="preserve">The catalase and lactose fermentation test results were also not consistent with literature reported colonies of </w:t>
      </w:r>
      <w:r w:rsidR="00223E49">
        <w:rPr>
          <w:rFonts w:cs="Arial"/>
          <w:i/>
          <w:iCs/>
          <w:color w:val="232323"/>
        </w:rPr>
        <w:t>B. cereus</w:t>
      </w:r>
      <w:r w:rsidR="00223E49">
        <w:rPr>
          <w:rFonts w:cs="Arial"/>
          <w:iCs/>
          <w:color w:val="232323"/>
        </w:rPr>
        <w:t xml:space="preserve">, the results for the literature colony was catalase-positive and lactose fermentation-negative (Vos. 2011). </w:t>
      </w:r>
      <w:r w:rsidR="00767AAE">
        <w:rPr>
          <w:rFonts w:cs="Arial"/>
          <w:iCs/>
          <w:color w:val="232323"/>
        </w:rPr>
        <w:t>The discrepancy with the literature</w:t>
      </w:r>
      <w:r w:rsidR="00206426">
        <w:rPr>
          <w:rFonts w:cs="Arial"/>
          <w:iCs/>
          <w:color w:val="232323"/>
        </w:rPr>
        <w:t xml:space="preserve"> is most likely the result of </w:t>
      </w:r>
      <w:r w:rsidR="00C471FE">
        <w:rPr>
          <w:rFonts w:cs="Arial"/>
          <w:iCs/>
          <w:color w:val="232323"/>
        </w:rPr>
        <w:t>continuing</w:t>
      </w:r>
      <w:r w:rsidR="00206426">
        <w:rPr>
          <w:rFonts w:cs="Arial"/>
          <w:iCs/>
          <w:color w:val="232323"/>
        </w:rPr>
        <w:t xml:space="preserve"> to test </w:t>
      </w:r>
      <w:r w:rsidR="00767AAE">
        <w:rPr>
          <w:rFonts w:cs="Arial"/>
          <w:iCs/>
          <w:color w:val="232323"/>
        </w:rPr>
        <w:t xml:space="preserve">my </w:t>
      </w:r>
      <w:r w:rsidR="00206426">
        <w:rPr>
          <w:rFonts w:cs="Arial"/>
          <w:iCs/>
          <w:color w:val="232323"/>
        </w:rPr>
        <w:t xml:space="preserve">streak plate </w:t>
      </w:r>
      <w:r w:rsidR="00C471FE">
        <w:rPr>
          <w:rFonts w:cs="Arial"/>
          <w:iCs/>
          <w:color w:val="232323"/>
        </w:rPr>
        <w:t>IV</w:t>
      </w:r>
      <w:r w:rsidR="00767AAE">
        <w:rPr>
          <w:rFonts w:cs="Arial"/>
          <w:iCs/>
          <w:color w:val="232323"/>
        </w:rPr>
        <w:t>,</w:t>
      </w:r>
      <w:r w:rsidR="00C471FE">
        <w:rPr>
          <w:rFonts w:cs="Arial"/>
          <w:iCs/>
          <w:color w:val="232323"/>
        </w:rPr>
        <w:t xml:space="preserve"> even though it was known that the plate had been contaminated. </w:t>
      </w:r>
    </w:p>
    <w:p w14:paraId="542BB56B" w14:textId="6A95C557" w:rsidR="00C471FE" w:rsidRDefault="00C471FE" w:rsidP="004A5CA7">
      <w:pPr>
        <w:spacing w:line="480" w:lineRule="auto"/>
        <w:rPr>
          <w:rFonts w:cs="Arial"/>
          <w:iCs/>
          <w:color w:val="232323"/>
        </w:rPr>
      </w:pPr>
      <w:r>
        <w:rPr>
          <w:rFonts w:cs="Arial"/>
          <w:iCs/>
          <w:color w:val="232323"/>
        </w:rPr>
        <w:tab/>
        <w:t>When it comes to antibiotics</w:t>
      </w:r>
      <w:r w:rsidR="00767AAE">
        <w:rPr>
          <w:rFonts w:cs="Arial"/>
          <w:iCs/>
          <w:color w:val="232323"/>
        </w:rPr>
        <w:t>,</w:t>
      </w:r>
      <w:r>
        <w:rPr>
          <w:rFonts w:cs="Arial"/>
          <w:iCs/>
          <w:color w:val="232323"/>
        </w:rPr>
        <w:t xml:space="preserve"> </w:t>
      </w:r>
      <w:r>
        <w:rPr>
          <w:rFonts w:cs="Arial"/>
          <w:i/>
          <w:iCs/>
          <w:color w:val="232323"/>
        </w:rPr>
        <w:t>B. cereus</w:t>
      </w:r>
      <w:r w:rsidR="00767AAE">
        <w:rPr>
          <w:rFonts w:cs="Arial"/>
          <w:iCs/>
          <w:color w:val="232323"/>
        </w:rPr>
        <w:t xml:space="preserve"> is</w:t>
      </w:r>
      <w:r>
        <w:rPr>
          <w:rFonts w:cs="Arial"/>
          <w:iCs/>
          <w:color w:val="232323"/>
        </w:rPr>
        <w:t xml:space="preserve"> </w:t>
      </w:r>
      <w:r w:rsidR="00767AAE">
        <w:rPr>
          <w:rFonts w:cs="Arial"/>
          <w:iCs/>
          <w:color w:val="232323"/>
        </w:rPr>
        <w:t>mostly resistant to penicillins and cephalosporin</w:t>
      </w:r>
      <w:r>
        <w:rPr>
          <w:rFonts w:cs="Arial"/>
          <w:iCs/>
          <w:color w:val="232323"/>
        </w:rPr>
        <w:t xml:space="preserve">s, but there have been some reports of resistance to erythromycin, tetracycline, and carbapenem (Bottone 2010). </w:t>
      </w:r>
      <w:r w:rsidR="00767AAE">
        <w:rPr>
          <w:rFonts w:cs="Arial"/>
          <w:iCs/>
          <w:color w:val="232323"/>
        </w:rPr>
        <w:t>T</w:t>
      </w:r>
      <w:r>
        <w:rPr>
          <w:rFonts w:cs="Arial"/>
          <w:iCs/>
          <w:color w:val="232323"/>
        </w:rPr>
        <w:t xml:space="preserve">his is not consistent with the susceptibility or resistance results of this </w:t>
      </w:r>
      <w:r w:rsidR="00767AAE">
        <w:rPr>
          <w:rFonts w:cs="Arial"/>
          <w:iCs/>
          <w:color w:val="232323"/>
        </w:rPr>
        <w:t>study (Table 2). According to the antibiotic susceptibility testing in this</w:t>
      </w:r>
      <w:r>
        <w:rPr>
          <w:rFonts w:cs="Arial"/>
          <w:iCs/>
          <w:color w:val="232323"/>
        </w:rPr>
        <w:t xml:space="preserve"> experiment the isolate </w:t>
      </w:r>
      <w:r>
        <w:rPr>
          <w:rFonts w:cs="Arial"/>
          <w:i/>
          <w:iCs/>
          <w:color w:val="232323"/>
        </w:rPr>
        <w:t>B. cereus</w:t>
      </w:r>
      <w:r>
        <w:rPr>
          <w:rFonts w:cs="Arial"/>
          <w:iCs/>
          <w:color w:val="232323"/>
        </w:rPr>
        <w:t xml:space="preserve"> is susceptible to both erythromycin and tetracycline (Table 2). This could be a result of only some </w:t>
      </w:r>
      <w:r>
        <w:rPr>
          <w:rFonts w:cs="Arial"/>
          <w:i/>
          <w:iCs/>
          <w:color w:val="232323"/>
        </w:rPr>
        <w:t>B. cereus</w:t>
      </w:r>
      <w:r w:rsidR="00767AAE">
        <w:rPr>
          <w:rFonts w:cs="Arial"/>
          <w:iCs/>
          <w:color w:val="232323"/>
        </w:rPr>
        <w:t xml:space="preserve"> strain</w:t>
      </w:r>
      <w:r>
        <w:rPr>
          <w:rFonts w:cs="Arial"/>
          <w:iCs/>
          <w:color w:val="232323"/>
        </w:rPr>
        <w:t xml:space="preserve">s being resistant to erythromycin and tetracycline. In </w:t>
      </w:r>
      <w:r w:rsidR="00767AAE">
        <w:rPr>
          <w:rFonts w:cs="Arial"/>
          <w:iCs/>
          <w:color w:val="232323"/>
        </w:rPr>
        <w:t xml:space="preserve">the aforementioned reported </w:t>
      </w:r>
      <w:r>
        <w:rPr>
          <w:rFonts w:cs="Arial"/>
          <w:iCs/>
          <w:color w:val="232323"/>
        </w:rPr>
        <w:t>cases of resistance</w:t>
      </w:r>
      <w:r w:rsidR="00767AAE">
        <w:rPr>
          <w:rFonts w:cs="Arial"/>
          <w:iCs/>
          <w:color w:val="232323"/>
        </w:rPr>
        <w:t>,</w:t>
      </w:r>
      <w:r>
        <w:rPr>
          <w:rFonts w:cs="Arial"/>
          <w:iCs/>
          <w:color w:val="232323"/>
        </w:rPr>
        <w:t xml:space="preserve"> the bacterium could have developed a resistance to the antibiotic </w:t>
      </w:r>
      <w:r w:rsidR="00767AAE">
        <w:rPr>
          <w:rFonts w:cs="Arial"/>
          <w:iCs/>
          <w:color w:val="232323"/>
        </w:rPr>
        <w:t>via horizontal gene transfer</w:t>
      </w:r>
      <w:r>
        <w:rPr>
          <w:rFonts w:cs="Arial"/>
          <w:iCs/>
          <w:color w:val="232323"/>
        </w:rPr>
        <w:t xml:space="preserve">. </w:t>
      </w:r>
    </w:p>
    <w:p w14:paraId="6E63BDD4" w14:textId="0A5C72C7" w:rsidR="00C471FE" w:rsidRPr="00C471FE" w:rsidRDefault="00C471FE" w:rsidP="004A5CA7">
      <w:pPr>
        <w:spacing w:line="480" w:lineRule="auto"/>
        <w:rPr>
          <w:rFonts w:cs="Arial"/>
          <w:b/>
          <w:iCs/>
          <w:color w:val="232323"/>
        </w:rPr>
      </w:pPr>
      <w:r>
        <w:rPr>
          <w:rFonts w:cs="Arial"/>
          <w:iCs/>
          <w:color w:val="232323"/>
        </w:rPr>
        <w:tab/>
      </w:r>
      <w:r>
        <w:rPr>
          <w:rFonts w:cs="Arial"/>
          <w:i/>
          <w:iCs/>
          <w:color w:val="232323"/>
        </w:rPr>
        <w:t>B. cereus</w:t>
      </w:r>
      <w:r>
        <w:rPr>
          <w:rFonts w:cs="Arial"/>
          <w:iCs/>
          <w:color w:val="232323"/>
        </w:rPr>
        <w:t xml:space="preserve"> is most commonly known for food poisoning and can be found and isolated from most soils and plants, as well as foods like raw meat and vegetables (Valero 2002). This is what makes it odd that </w:t>
      </w:r>
      <w:r>
        <w:rPr>
          <w:rFonts w:cs="Arial"/>
          <w:i/>
          <w:iCs/>
          <w:color w:val="232323"/>
        </w:rPr>
        <w:t>B. cereus</w:t>
      </w:r>
      <w:r>
        <w:rPr>
          <w:rFonts w:cs="Arial"/>
          <w:iCs/>
          <w:color w:val="232323"/>
        </w:rPr>
        <w:t xml:space="preserve"> was isolated </w:t>
      </w:r>
      <w:r w:rsidR="00E65D61">
        <w:rPr>
          <w:rFonts w:cs="Arial"/>
          <w:iCs/>
          <w:color w:val="232323"/>
        </w:rPr>
        <w:t xml:space="preserve">from a hockey glove. One possibility for how this happened is that the microbe was transferred to the glove from my hand and it was able to survive in the </w:t>
      </w:r>
      <w:r w:rsidR="00767AAE">
        <w:rPr>
          <w:rFonts w:cs="Arial"/>
          <w:iCs/>
          <w:color w:val="232323"/>
        </w:rPr>
        <w:t xml:space="preserve">atypical </w:t>
      </w:r>
      <w:r w:rsidR="00E65D61">
        <w:rPr>
          <w:rFonts w:cs="Arial"/>
          <w:iCs/>
          <w:color w:val="232323"/>
        </w:rPr>
        <w:t xml:space="preserve">environment. </w:t>
      </w:r>
    </w:p>
    <w:bookmarkEnd w:id="0"/>
    <w:bookmarkEnd w:id="1"/>
    <w:p w14:paraId="57380F81" w14:textId="77777777" w:rsidR="00CE1140" w:rsidRPr="00CE1140" w:rsidRDefault="007A15B3" w:rsidP="004A5CA7">
      <w:pPr>
        <w:jc w:val="center"/>
        <w:rPr>
          <w:b/>
        </w:rPr>
      </w:pPr>
      <w:r>
        <w:rPr>
          <w:rFonts w:cs="Arial"/>
          <w:iCs/>
          <w:color w:val="232323"/>
        </w:rPr>
        <w:br w:type="page"/>
      </w:r>
    </w:p>
    <w:p w14:paraId="1CB7A0BB" w14:textId="77777777" w:rsidR="007A15B3" w:rsidRDefault="007A15B3" w:rsidP="007A15B3">
      <w:pPr>
        <w:spacing w:line="480" w:lineRule="auto"/>
        <w:jc w:val="center"/>
      </w:pPr>
      <w:r w:rsidRPr="00504D9C">
        <w:rPr>
          <w:b/>
        </w:rPr>
        <w:t>Literature Cited</w:t>
      </w:r>
    </w:p>
    <w:p w14:paraId="4B9DE9BE" w14:textId="77777777" w:rsidR="003B5628" w:rsidRDefault="003B5628" w:rsidP="003B5628">
      <w:pPr>
        <w:spacing w:line="480" w:lineRule="auto"/>
        <w:ind w:left="720" w:hanging="720"/>
        <w:rPr>
          <w:rFonts w:cs="Arial"/>
          <w:color w:val="1A1A1A"/>
        </w:rPr>
      </w:pPr>
      <w:r w:rsidRPr="007A15B3">
        <w:rPr>
          <w:rFonts w:cs="Arial"/>
          <w:color w:val="1A1A1A"/>
        </w:rPr>
        <w:t xml:space="preserve">Beavis, R. C., &amp; MacDonald, P. B. (2008). Staphylococcus aureus Septicemia Secondary to Hand Abrasions in a Professional Hockey Player-A Case Report. </w:t>
      </w:r>
      <w:r w:rsidRPr="007A15B3">
        <w:rPr>
          <w:rFonts w:cs="Arial"/>
          <w:i/>
          <w:iCs/>
          <w:color w:val="1A1A1A"/>
        </w:rPr>
        <w:t>Clinical Journal of Sport Medicine</w:t>
      </w:r>
      <w:r w:rsidRPr="007A15B3">
        <w:rPr>
          <w:rFonts w:cs="Arial"/>
          <w:color w:val="1A1A1A"/>
        </w:rPr>
        <w:t xml:space="preserve">, </w:t>
      </w:r>
      <w:r w:rsidRPr="007A15B3">
        <w:rPr>
          <w:rFonts w:cs="Arial"/>
          <w:i/>
          <w:iCs/>
          <w:color w:val="1A1A1A"/>
        </w:rPr>
        <w:t>18</w:t>
      </w:r>
      <w:r w:rsidRPr="007A15B3">
        <w:rPr>
          <w:rFonts w:cs="Arial"/>
          <w:color w:val="1A1A1A"/>
        </w:rPr>
        <w:t>(2), 174-175.</w:t>
      </w:r>
    </w:p>
    <w:p w14:paraId="21C61F1D" w14:textId="48A4512F" w:rsidR="00781DA2" w:rsidRPr="00781DA2" w:rsidRDefault="00781DA2" w:rsidP="003B5628">
      <w:pPr>
        <w:spacing w:line="480" w:lineRule="auto"/>
        <w:ind w:left="720" w:hanging="720"/>
        <w:rPr>
          <w:rFonts w:cs="Arial"/>
          <w:color w:val="1A1A1A"/>
        </w:rPr>
      </w:pPr>
      <w:r w:rsidRPr="00781DA2">
        <w:rPr>
          <w:rFonts w:cs="Arial"/>
          <w:color w:val="1A1A1A"/>
        </w:rPr>
        <w:t xml:space="preserve">Bottone, E. J. (2010). Bacillus cereus, a volatile human pathogen. </w:t>
      </w:r>
      <w:r w:rsidRPr="00781DA2">
        <w:rPr>
          <w:rFonts w:cs="Arial"/>
          <w:i/>
          <w:iCs/>
          <w:color w:val="1A1A1A"/>
        </w:rPr>
        <w:t>Clinical microbiology reviews</w:t>
      </w:r>
      <w:r w:rsidRPr="00781DA2">
        <w:rPr>
          <w:rFonts w:cs="Arial"/>
          <w:color w:val="1A1A1A"/>
        </w:rPr>
        <w:t xml:space="preserve">, </w:t>
      </w:r>
      <w:r w:rsidRPr="00781DA2">
        <w:rPr>
          <w:rFonts w:cs="Arial"/>
          <w:i/>
          <w:iCs/>
          <w:color w:val="1A1A1A"/>
        </w:rPr>
        <w:t>23</w:t>
      </w:r>
      <w:r w:rsidRPr="00781DA2">
        <w:rPr>
          <w:rFonts w:cs="Arial"/>
          <w:color w:val="1A1A1A"/>
        </w:rPr>
        <w:t>(2), 382-398.</w:t>
      </w:r>
    </w:p>
    <w:p w14:paraId="2D539963" w14:textId="7B304639" w:rsidR="00781DA2" w:rsidRDefault="00781DA2" w:rsidP="003B5628">
      <w:pPr>
        <w:spacing w:line="480" w:lineRule="auto"/>
        <w:ind w:left="720" w:hanging="720"/>
        <w:rPr>
          <w:rFonts w:cs="Arial"/>
          <w:color w:val="1A1A1A"/>
        </w:rPr>
      </w:pPr>
      <w:r w:rsidRPr="00781DA2">
        <w:rPr>
          <w:rFonts w:cs="Arial"/>
          <w:color w:val="1A1A1A"/>
        </w:rPr>
        <w:t xml:space="preserve">Drobniewski, F. A. (1993). Bacillus cereus and related species. </w:t>
      </w:r>
      <w:r w:rsidRPr="00781DA2">
        <w:rPr>
          <w:rFonts w:cs="Arial"/>
          <w:i/>
          <w:iCs/>
          <w:color w:val="1A1A1A"/>
        </w:rPr>
        <w:t>Clinical microbiology reviews</w:t>
      </w:r>
      <w:r w:rsidRPr="00781DA2">
        <w:rPr>
          <w:rFonts w:cs="Arial"/>
          <w:color w:val="1A1A1A"/>
        </w:rPr>
        <w:t xml:space="preserve">, </w:t>
      </w:r>
      <w:r w:rsidRPr="00781DA2">
        <w:rPr>
          <w:rFonts w:cs="Arial"/>
          <w:i/>
          <w:iCs/>
          <w:color w:val="1A1A1A"/>
        </w:rPr>
        <w:t>6</w:t>
      </w:r>
      <w:r w:rsidRPr="00781DA2">
        <w:rPr>
          <w:rFonts w:cs="Arial"/>
          <w:color w:val="1A1A1A"/>
        </w:rPr>
        <w:t>(4), 324-338.</w:t>
      </w:r>
    </w:p>
    <w:p w14:paraId="2F5F801D" w14:textId="7DC2A170" w:rsidR="00AA1DA0" w:rsidRPr="00AA1DA0" w:rsidRDefault="00AA1DA0" w:rsidP="003B5628">
      <w:pPr>
        <w:spacing w:line="480" w:lineRule="auto"/>
        <w:ind w:left="720" w:hanging="720"/>
        <w:rPr>
          <w:rFonts w:cs="Arial"/>
          <w:color w:val="1A1A1A"/>
        </w:rPr>
      </w:pPr>
      <w:r w:rsidRPr="00AA1DA0">
        <w:rPr>
          <w:rFonts w:cs="Arial"/>
          <w:color w:val="1A1A1A"/>
        </w:rPr>
        <w:t xml:space="preserve">Edmonds-Wilson, S. L., Nurinova, N. I., Zapka, C. A., Fierer, N., &amp; Wilson, M. (2015). Review of human hand microbiome research. </w:t>
      </w:r>
      <w:r w:rsidRPr="00AA1DA0">
        <w:rPr>
          <w:rFonts w:cs="Arial"/>
          <w:i/>
          <w:iCs/>
          <w:color w:val="1A1A1A"/>
        </w:rPr>
        <w:t>Journal of dermatological science</w:t>
      </w:r>
      <w:r w:rsidRPr="00AA1DA0">
        <w:rPr>
          <w:rFonts w:cs="Arial"/>
          <w:color w:val="1A1A1A"/>
        </w:rPr>
        <w:t xml:space="preserve">, </w:t>
      </w:r>
      <w:r w:rsidRPr="00AA1DA0">
        <w:rPr>
          <w:rFonts w:cs="Arial"/>
          <w:i/>
          <w:iCs/>
          <w:color w:val="1A1A1A"/>
        </w:rPr>
        <w:t>80</w:t>
      </w:r>
      <w:r w:rsidRPr="00AA1DA0">
        <w:rPr>
          <w:rFonts w:cs="Arial"/>
          <w:color w:val="1A1A1A"/>
        </w:rPr>
        <w:t>(1), 3-12.</w:t>
      </w:r>
    </w:p>
    <w:p w14:paraId="6893F17A" w14:textId="77777777" w:rsidR="007A15B3" w:rsidRDefault="007A15B3" w:rsidP="003B5628">
      <w:pPr>
        <w:spacing w:line="480" w:lineRule="auto"/>
        <w:ind w:left="720" w:hanging="720"/>
        <w:rPr>
          <w:rFonts w:cs="Arial"/>
          <w:color w:val="1A1A1A"/>
        </w:rPr>
      </w:pPr>
      <w:r w:rsidRPr="007A15B3">
        <w:rPr>
          <w:rFonts w:cs="Arial"/>
          <w:color w:val="1A1A1A"/>
        </w:rPr>
        <w:t xml:space="preserve">Grosset-Janin, A., Nicolas, X., &amp; Saraux, A. (2012). Sport and infectious risk: a systematic review of the literature over 20 years. </w:t>
      </w:r>
      <w:r w:rsidRPr="007A15B3">
        <w:rPr>
          <w:rFonts w:cs="Arial"/>
          <w:i/>
          <w:iCs/>
          <w:color w:val="1A1A1A"/>
        </w:rPr>
        <w:t>Médecine et maladies infectieuses</w:t>
      </w:r>
      <w:r w:rsidRPr="007A15B3">
        <w:rPr>
          <w:rFonts w:cs="Arial"/>
          <w:color w:val="1A1A1A"/>
        </w:rPr>
        <w:t xml:space="preserve">, </w:t>
      </w:r>
      <w:r w:rsidRPr="007A15B3">
        <w:rPr>
          <w:rFonts w:cs="Arial"/>
          <w:i/>
          <w:iCs/>
          <w:color w:val="1A1A1A"/>
        </w:rPr>
        <w:t>42</w:t>
      </w:r>
      <w:r w:rsidRPr="007A15B3">
        <w:rPr>
          <w:rFonts w:cs="Arial"/>
          <w:color w:val="1A1A1A"/>
        </w:rPr>
        <w:t>(11), 533-544.</w:t>
      </w:r>
    </w:p>
    <w:p w14:paraId="2D62CC0F" w14:textId="423B348A" w:rsidR="00781DA2" w:rsidRPr="00781DA2" w:rsidRDefault="00781DA2" w:rsidP="003B5628">
      <w:pPr>
        <w:spacing w:line="480" w:lineRule="auto"/>
        <w:ind w:left="720" w:hanging="720"/>
        <w:rPr>
          <w:rFonts w:cs="Arial"/>
          <w:color w:val="1A1A1A"/>
        </w:rPr>
      </w:pPr>
      <w:r w:rsidRPr="00781DA2">
        <w:rPr>
          <w:rFonts w:cs="Arial"/>
          <w:color w:val="1A1A1A"/>
        </w:rPr>
        <w:t xml:space="preserve">Valero, M., Hernández-Herrero, L. A., Fernández, P. S., &amp; Salmerón, M. C. (2002). Characterization of Bacillus cereus isolates from fresh vegetables and refrigerated minimally processed foods by biochemical and physiological tests. </w:t>
      </w:r>
      <w:r w:rsidRPr="00781DA2">
        <w:rPr>
          <w:rFonts w:cs="Arial"/>
          <w:i/>
          <w:iCs/>
          <w:color w:val="1A1A1A"/>
        </w:rPr>
        <w:t>Food Microbiology</w:t>
      </w:r>
      <w:r w:rsidRPr="00781DA2">
        <w:rPr>
          <w:rFonts w:cs="Arial"/>
          <w:color w:val="1A1A1A"/>
        </w:rPr>
        <w:t xml:space="preserve">, </w:t>
      </w:r>
      <w:r w:rsidRPr="00781DA2">
        <w:rPr>
          <w:rFonts w:cs="Arial"/>
          <w:i/>
          <w:iCs/>
          <w:color w:val="1A1A1A"/>
        </w:rPr>
        <w:t>19</w:t>
      </w:r>
      <w:r w:rsidRPr="00781DA2">
        <w:rPr>
          <w:rFonts w:cs="Arial"/>
          <w:color w:val="1A1A1A"/>
        </w:rPr>
        <w:t>(5), 491-499.</w:t>
      </w:r>
    </w:p>
    <w:bookmarkEnd w:id="4"/>
    <w:bookmarkEnd w:id="5"/>
    <w:p w14:paraId="28BB7162" w14:textId="3052D753" w:rsidR="00FB14B5" w:rsidRPr="00F935CA" w:rsidRDefault="00FB14B5" w:rsidP="00F935CA">
      <w:pPr>
        <w:widowControl w:val="0"/>
        <w:autoSpaceDE w:val="0"/>
        <w:autoSpaceDN w:val="0"/>
        <w:adjustRightInd w:val="0"/>
        <w:spacing w:line="480" w:lineRule="auto"/>
        <w:ind w:left="720" w:hanging="720"/>
        <w:rPr>
          <w:rFonts w:cs="Arial"/>
          <w:color w:val="1A1A1A"/>
        </w:rPr>
      </w:pPr>
      <w:r w:rsidRPr="00F935CA">
        <w:rPr>
          <w:rFonts w:cs="Arial"/>
          <w:color w:val="1A1A1A"/>
        </w:rPr>
        <w:t>Vos, P., Garrity, G., Jones, D., Krieg, N. R., Ludwig, W., Rainey, F. A., ... &amp; Whitman, W. (Eds.). (2011). </w:t>
      </w:r>
      <w:r w:rsidRPr="00F935CA">
        <w:rPr>
          <w:rFonts w:cs="Arial"/>
          <w:i/>
          <w:iCs/>
          <w:color w:val="1A1A1A"/>
        </w:rPr>
        <w:t>Bergey's Manual of Systematic Bacteriology: Volume 3: The Firmicutes</w:t>
      </w:r>
      <w:r w:rsidRPr="00F935CA">
        <w:rPr>
          <w:rFonts w:cs="Arial"/>
          <w:color w:val="1A1A1A"/>
        </w:rPr>
        <w:t> (Vol. 3). Springer Science &amp; Business Media</w:t>
      </w:r>
      <w:r w:rsidR="00586031">
        <w:rPr>
          <w:rFonts w:cs="Arial"/>
          <w:color w:val="1A1A1A"/>
        </w:rPr>
        <w:t>, 20-93</w:t>
      </w:r>
      <w:r w:rsidRPr="00F935CA">
        <w:rPr>
          <w:rFonts w:cs="Arial"/>
          <w:color w:val="1A1A1A"/>
        </w:rPr>
        <w:t>.</w:t>
      </w:r>
      <w:bookmarkStart w:id="6" w:name="_GoBack"/>
      <w:bookmarkEnd w:id="6"/>
    </w:p>
    <w:p w14:paraId="3D4372DD" w14:textId="77777777" w:rsidR="003B5628" w:rsidRPr="003B5628" w:rsidRDefault="003B5628" w:rsidP="007A15B3">
      <w:pPr>
        <w:spacing w:line="480" w:lineRule="auto"/>
        <w:ind w:left="720" w:hanging="720"/>
      </w:pPr>
    </w:p>
    <w:sectPr w:rsidR="003B5628" w:rsidRPr="003B5628" w:rsidSect="00A1176C">
      <w:headerReference w:type="even" r:id="rId11"/>
      <w:head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6F496" w14:textId="77777777" w:rsidR="00E90DCD" w:rsidRDefault="00E90DCD" w:rsidP="00171415">
      <w:r>
        <w:separator/>
      </w:r>
    </w:p>
  </w:endnote>
  <w:endnote w:type="continuationSeparator" w:id="0">
    <w:p w14:paraId="5C8739B1" w14:textId="77777777" w:rsidR="00E90DCD" w:rsidRDefault="00E90DCD" w:rsidP="00171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A50D0" w14:textId="77777777" w:rsidR="00E90DCD" w:rsidRDefault="00E90DCD" w:rsidP="00171415">
      <w:r>
        <w:separator/>
      </w:r>
    </w:p>
  </w:footnote>
  <w:footnote w:type="continuationSeparator" w:id="0">
    <w:p w14:paraId="34D3AB42" w14:textId="77777777" w:rsidR="00E90DCD" w:rsidRDefault="00E90DCD" w:rsidP="001714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A1F40" w14:textId="77777777" w:rsidR="00E90DCD" w:rsidRDefault="00E90DCD" w:rsidP="0017141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CDBC7C" w14:textId="77777777" w:rsidR="00E90DCD" w:rsidRDefault="00E90DCD" w:rsidP="0017141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341B0" w14:textId="77777777" w:rsidR="00E90DCD" w:rsidRDefault="00E90DCD" w:rsidP="0017141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86031">
      <w:rPr>
        <w:rStyle w:val="PageNumber"/>
        <w:noProof/>
      </w:rPr>
      <w:t>1</w:t>
    </w:r>
    <w:r>
      <w:rPr>
        <w:rStyle w:val="PageNumber"/>
      </w:rPr>
      <w:fldChar w:fldCharType="end"/>
    </w:r>
  </w:p>
  <w:p w14:paraId="053BCEC3" w14:textId="77777777" w:rsidR="00E90DCD" w:rsidRDefault="00E90DCD" w:rsidP="00171415">
    <w:pPr>
      <w:pStyle w:val="Header"/>
      <w:ind w:right="360"/>
      <w:jc w:val="right"/>
    </w:pPr>
    <w:r>
      <w:t>Cox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415"/>
    <w:rsid w:val="00085FC9"/>
    <w:rsid w:val="000B1071"/>
    <w:rsid w:val="000C5731"/>
    <w:rsid w:val="000D7897"/>
    <w:rsid w:val="00171415"/>
    <w:rsid w:val="00191437"/>
    <w:rsid w:val="001D3AE0"/>
    <w:rsid w:val="001E063B"/>
    <w:rsid w:val="001E19C9"/>
    <w:rsid w:val="00206426"/>
    <w:rsid w:val="00223E49"/>
    <w:rsid w:val="002B1DCC"/>
    <w:rsid w:val="003330FB"/>
    <w:rsid w:val="00396687"/>
    <w:rsid w:val="003B5628"/>
    <w:rsid w:val="003F3DAC"/>
    <w:rsid w:val="004367BB"/>
    <w:rsid w:val="004A5CA7"/>
    <w:rsid w:val="004B31CE"/>
    <w:rsid w:val="004D7AB6"/>
    <w:rsid w:val="0053438D"/>
    <w:rsid w:val="00586031"/>
    <w:rsid w:val="00587F5D"/>
    <w:rsid w:val="005A4D30"/>
    <w:rsid w:val="005F7C4F"/>
    <w:rsid w:val="00641C72"/>
    <w:rsid w:val="00702BC4"/>
    <w:rsid w:val="007169DB"/>
    <w:rsid w:val="00767AAE"/>
    <w:rsid w:val="00781DA2"/>
    <w:rsid w:val="007A15B3"/>
    <w:rsid w:val="007D0D1C"/>
    <w:rsid w:val="007F79D2"/>
    <w:rsid w:val="00806EAE"/>
    <w:rsid w:val="00836DB1"/>
    <w:rsid w:val="00884D1D"/>
    <w:rsid w:val="008863DF"/>
    <w:rsid w:val="009141EF"/>
    <w:rsid w:val="00954EFB"/>
    <w:rsid w:val="00A1176C"/>
    <w:rsid w:val="00A760E1"/>
    <w:rsid w:val="00A84DA1"/>
    <w:rsid w:val="00AA1DA0"/>
    <w:rsid w:val="00AC0F0B"/>
    <w:rsid w:val="00B433EB"/>
    <w:rsid w:val="00B45264"/>
    <w:rsid w:val="00BF7832"/>
    <w:rsid w:val="00C471FE"/>
    <w:rsid w:val="00C728F9"/>
    <w:rsid w:val="00C92ADD"/>
    <w:rsid w:val="00CE1140"/>
    <w:rsid w:val="00E0164E"/>
    <w:rsid w:val="00E05FFD"/>
    <w:rsid w:val="00E33958"/>
    <w:rsid w:val="00E65D61"/>
    <w:rsid w:val="00E90DCD"/>
    <w:rsid w:val="00E91F62"/>
    <w:rsid w:val="00EC651E"/>
    <w:rsid w:val="00EE44A7"/>
    <w:rsid w:val="00F166AD"/>
    <w:rsid w:val="00F22D7F"/>
    <w:rsid w:val="00F365B9"/>
    <w:rsid w:val="00F82917"/>
    <w:rsid w:val="00F935CA"/>
    <w:rsid w:val="00FB14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BEB3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15"/>
    <w:pPr>
      <w:tabs>
        <w:tab w:val="center" w:pos="4320"/>
        <w:tab w:val="right" w:pos="8640"/>
      </w:tabs>
    </w:pPr>
  </w:style>
  <w:style w:type="character" w:customStyle="1" w:styleId="HeaderChar">
    <w:name w:val="Header Char"/>
    <w:basedOn w:val="DefaultParagraphFont"/>
    <w:link w:val="Header"/>
    <w:uiPriority w:val="99"/>
    <w:rsid w:val="00171415"/>
  </w:style>
  <w:style w:type="character" w:styleId="PageNumber">
    <w:name w:val="page number"/>
    <w:basedOn w:val="DefaultParagraphFont"/>
    <w:uiPriority w:val="99"/>
    <w:semiHidden/>
    <w:unhideWhenUsed/>
    <w:rsid w:val="00171415"/>
  </w:style>
  <w:style w:type="paragraph" w:styleId="Footer">
    <w:name w:val="footer"/>
    <w:basedOn w:val="Normal"/>
    <w:link w:val="FooterChar"/>
    <w:uiPriority w:val="99"/>
    <w:unhideWhenUsed/>
    <w:rsid w:val="00171415"/>
    <w:pPr>
      <w:tabs>
        <w:tab w:val="center" w:pos="4320"/>
        <w:tab w:val="right" w:pos="8640"/>
      </w:tabs>
    </w:pPr>
  </w:style>
  <w:style w:type="character" w:customStyle="1" w:styleId="FooterChar">
    <w:name w:val="Footer Char"/>
    <w:basedOn w:val="DefaultParagraphFont"/>
    <w:link w:val="Footer"/>
    <w:uiPriority w:val="99"/>
    <w:rsid w:val="00171415"/>
  </w:style>
  <w:style w:type="table" w:styleId="TableGrid">
    <w:name w:val="Table Grid"/>
    <w:basedOn w:val="TableNormal"/>
    <w:uiPriority w:val="39"/>
    <w:rsid w:val="004A5CA7"/>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5C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5CA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15"/>
    <w:pPr>
      <w:tabs>
        <w:tab w:val="center" w:pos="4320"/>
        <w:tab w:val="right" w:pos="8640"/>
      </w:tabs>
    </w:pPr>
  </w:style>
  <w:style w:type="character" w:customStyle="1" w:styleId="HeaderChar">
    <w:name w:val="Header Char"/>
    <w:basedOn w:val="DefaultParagraphFont"/>
    <w:link w:val="Header"/>
    <w:uiPriority w:val="99"/>
    <w:rsid w:val="00171415"/>
  </w:style>
  <w:style w:type="character" w:styleId="PageNumber">
    <w:name w:val="page number"/>
    <w:basedOn w:val="DefaultParagraphFont"/>
    <w:uiPriority w:val="99"/>
    <w:semiHidden/>
    <w:unhideWhenUsed/>
    <w:rsid w:val="00171415"/>
  </w:style>
  <w:style w:type="paragraph" w:styleId="Footer">
    <w:name w:val="footer"/>
    <w:basedOn w:val="Normal"/>
    <w:link w:val="FooterChar"/>
    <w:uiPriority w:val="99"/>
    <w:unhideWhenUsed/>
    <w:rsid w:val="00171415"/>
    <w:pPr>
      <w:tabs>
        <w:tab w:val="center" w:pos="4320"/>
        <w:tab w:val="right" w:pos="8640"/>
      </w:tabs>
    </w:pPr>
  </w:style>
  <w:style w:type="character" w:customStyle="1" w:styleId="FooterChar">
    <w:name w:val="Footer Char"/>
    <w:basedOn w:val="DefaultParagraphFont"/>
    <w:link w:val="Footer"/>
    <w:uiPriority w:val="99"/>
    <w:rsid w:val="00171415"/>
  </w:style>
  <w:style w:type="table" w:styleId="TableGrid">
    <w:name w:val="Table Grid"/>
    <w:basedOn w:val="TableNormal"/>
    <w:uiPriority w:val="39"/>
    <w:rsid w:val="004A5CA7"/>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A5C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5CA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E777D-65C8-7B41-A532-8A5EF261D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1768</Words>
  <Characters>10082</Characters>
  <Application>Microsoft Macintosh Word</Application>
  <DocSecurity>0</DocSecurity>
  <Lines>84</Lines>
  <Paragraphs>23</Paragraphs>
  <ScaleCrop>false</ScaleCrop>
  <Company/>
  <LinksUpToDate>false</LinksUpToDate>
  <CharactersWithSpaces>11827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cox</dc:creator>
  <cp:keywords/>
  <dc:description/>
  <cp:lastModifiedBy>courtney cox</cp:lastModifiedBy>
  <cp:revision>2</cp:revision>
  <cp:lastPrinted>2017-03-21T00:36:00Z</cp:lastPrinted>
  <dcterms:created xsi:type="dcterms:W3CDTF">2017-04-29T03:19:00Z</dcterms:created>
  <dcterms:modified xsi:type="dcterms:W3CDTF">2017-04-29T03:19:00Z</dcterms:modified>
</cp:coreProperties>
</file>